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Pr="00664948" w:rsidRDefault="00664948" w:rsidP="006649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9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3C586" wp14:editId="58ED7374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948" w:rsidRPr="00664948" w:rsidRDefault="00664948" w:rsidP="00664948">
      <w:pPr>
        <w:rPr>
          <w:rFonts w:ascii="Times New Roman" w:eastAsia="Calibri" w:hAnsi="Times New Roman" w:cs="Times New Roman"/>
          <w:sz w:val="28"/>
          <w:szCs w:val="28"/>
        </w:rPr>
      </w:pPr>
    </w:p>
    <w:p w:rsidR="00664948" w:rsidRPr="00664948" w:rsidRDefault="00664948" w:rsidP="00664948">
      <w:pPr>
        <w:suppressAutoHyphens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664948">
        <w:rPr>
          <w:rFonts w:ascii="Times New Roman" w:eastAsia="Calibri" w:hAnsi="Times New Roman" w:cs="Times New Roman"/>
          <w:sz w:val="28"/>
          <w:szCs w:val="28"/>
        </w:rPr>
        <w:tab/>
      </w:r>
      <w:r w:rsidRPr="00664948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B62B21" w:rsidRDefault="00B62B21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B62B21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от 06.05.2019 </w:t>
      </w:r>
      <w:r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  </w:t>
      </w:r>
      <w:r w:rsidRPr="00B62B21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№209</w:t>
      </w: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</w:pPr>
      <w:r w:rsidRPr="00664948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      г. Невель</w:t>
      </w:r>
    </w:p>
    <w:p w:rsidR="00664948" w:rsidRDefault="00664948">
      <w:pPr>
        <w:pStyle w:val="ConsPlusTitlePage"/>
      </w:pPr>
    </w:p>
    <w:p w:rsidR="00664948" w:rsidRDefault="00664948">
      <w:pPr>
        <w:pStyle w:val="ConsPlusTitlePage"/>
      </w:pPr>
    </w:p>
    <w:p w:rsidR="00664948" w:rsidRDefault="00664948">
      <w:pPr>
        <w:pStyle w:val="ConsPlusTitlePage"/>
      </w:pPr>
    </w:p>
    <w:p w:rsidR="00EA512A" w:rsidRDefault="00664948" w:rsidP="00664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01635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 xml:space="preserve"> тре</w:t>
      </w:r>
      <w:r w:rsidR="00A01635">
        <w:rPr>
          <w:rFonts w:ascii="Times New Roman" w:hAnsi="Times New Roman" w:cs="Times New Roman"/>
          <w:b w:val="0"/>
          <w:sz w:val="28"/>
          <w:szCs w:val="28"/>
        </w:rPr>
        <w:t>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>к договорам</w:t>
      </w:r>
      <w:r w:rsidR="00A016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17919" w:rsidRPr="00664948" w:rsidRDefault="00A01635" w:rsidP="006649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заключаемым в связи с предоставлением</w:t>
      </w:r>
      <w:r w:rsidR="00664948" w:rsidRPr="00664948">
        <w:rPr>
          <w:rFonts w:ascii="Times New Roman" w:hAnsi="Times New Roman" w:cs="Times New Roman"/>
          <w:b w:val="0"/>
          <w:sz w:val="28"/>
          <w:szCs w:val="28"/>
        </w:rPr>
        <w:t xml:space="preserve"> бюджетных инвестиций</w:t>
      </w:r>
    </w:p>
    <w:p w:rsidR="00417919" w:rsidRPr="00664948" w:rsidRDefault="00664948" w:rsidP="00FB75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4948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лицам, не являющимся </w:t>
      </w:r>
      <w:r w:rsidR="00FB751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государственными и 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учреждениями и </w:t>
      </w:r>
      <w:r w:rsidR="00FB751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государственными и 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>унитарными предприятиями, за счет</w:t>
      </w:r>
      <w:r w:rsidR="00FB75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средств бюджета  МО «Н</w:t>
      </w:r>
      <w:r w:rsidRPr="00664948">
        <w:rPr>
          <w:rFonts w:ascii="Times New Roman" w:hAnsi="Times New Roman" w:cs="Times New Roman"/>
          <w:b w:val="0"/>
          <w:sz w:val="28"/>
          <w:szCs w:val="28"/>
        </w:rPr>
        <w:t xml:space="preserve">евельский район» </w:t>
      </w:r>
    </w:p>
    <w:p w:rsidR="00417919" w:rsidRDefault="00417919">
      <w:pPr>
        <w:spacing w:after="1"/>
      </w:pPr>
    </w:p>
    <w:p w:rsidR="00417919" w:rsidRDefault="00417919">
      <w:pPr>
        <w:pStyle w:val="ConsPlusNormal"/>
        <w:jc w:val="center"/>
      </w:pPr>
    </w:p>
    <w:p w:rsidR="00417919" w:rsidRPr="00664948" w:rsidRDefault="0041791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9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D613B">
        <w:rPr>
          <w:rFonts w:ascii="Times New Roman" w:hAnsi="Times New Roman" w:cs="Times New Roman"/>
          <w:sz w:val="28"/>
          <w:szCs w:val="28"/>
        </w:rPr>
        <w:t>пунктом 3 статьи 80 Бюджетного</w:t>
      </w:r>
      <w:r w:rsidRPr="0066494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64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  <w:r w:rsidR="005D61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664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</w:t>
      </w:r>
      <w:r w:rsidR="00FB751D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Федерации, Уставом МО «Невельский район»</w:t>
      </w:r>
      <w:r w:rsidRPr="006649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4948" w:rsidRDefault="00664948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17919" w:rsidRPr="0066494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</w:t>
      </w:r>
      <w:r w:rsidRPr="00664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лагаемые </w:t>
      </w:r>
      <w:hyperlink w:anchor="P45" w:history="1">
        <w:r w:rsidR="00417919" w:rsidRPr="00664948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="00417919" w:rsidRPr="00664948">
        <w:rPr>
          <w:rFonts w:ascii="Times New Roman" w:hAnsi="Times New Roman" w:cs="Times New Roman"/>
          <w:sz w:val="28"/>
          <w:szCs w:val="28"/>
        </w:rPr>
        <w:t xml:space="preserve"> к договорам</w:t>
      </w:r>
      <w:r w:rsidR="00EA512A">
        <w:rPr>
          <w:rFonts w:ascii="Times New Roman" w:hAnsi="Times New Roman" w:cs="Times New Roman"/>
          <w:sz w:val="28"/>
          <w:szCs w:val="28"/>
        </w:rPr>
        <w:t>,</w:t>
      </w:r>
      <w:r w:rsidR="00EA512A" w:rsidRPr="00EA512A">
        <w:t xml:space="preserve"> </w:t>
      </w:r>
      <w:r w:rsidR="00EA512A" w:rsidRPr="00EA512A">
        <w:rPr>
          <w:rFonts w:ascii="Times New Roman" w:hAnsi="Times New Roman" w:cs="Times New Roman"/>
          <w:sz w:val="28"/>
          <w:szCs w:val="28"/>
        </w:rPr>
        <w:t>заключаемым в связи с предоставлением</w:t>
      </w:r>
      <w:r w:rsidR="00417919" w:rsidRPr="00664948">
        <w:rPr>
          <w:rFonts w:ascii="Times New Roman" w:hAnsi="Times New Roman" w:cs="Times New Roman"/>
          <w:sz w:val="28"/>
          <w:szCs w:val="28"/>
        </w:rPr>
        <w:t xml:space="preserve"> бюджетных инвестиций </w:t>
      </w:r>
      <w:r w:rsidRPr="00664948">
        <w:rPr>
          <w:rFonts w:ascii="Times New Roman" w:hAnsi="Times New Roman" w:cs="Times New Roman"/>
          <w:sz w:val="28"/>
          <w:szCs w:val="28"/>
        </w:rPr>
        <w:t xml:space="preserve">юридическим лицам, не являющимся </w:t>
      </w:r>
      <w:r w:rsidR="00083E0E">
        <w:rPr>
          <w:rFonts w:ascii="Times New Roman" w:hAnsi="Times New Roman" w:cs="Times New Roman"/>
          <w:sz w:val="28"/>
          <w:szCs w:val="28"/>
        </w:rPr>
        <w:t xml:space="preserve">государственными и </w:t>
      </w:r>
      <w:r w:rsidRPr="00664948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="00083E0E">
        <w:rPr>
          <w:rFonts w:ascii="Times New Roman" w:hAnsi="Times New Roman" w:cs="Times New Roman"/>
          <w:sz w:val="28"/>
          <w:szCs w:val="28"/>
        </w:rPr>
        <w:t xml:space="preserve">государственными и </w:t>
      </w:r>
      <w:r w:rsidRPr="00664948">
        <w:rPr>
          <w:rFonts w:ascii="Times New Roman" w:hAnsi="Times New Roman" w:cs="Times New Roman"/>
          <w:sz w:val="28"/>
          <w:szCs w:val="28"/>
        </w:rPr>
        <w:t>муниципальными унитарными предприя</w:t>
      </w:r>
      <w:r w:rsidR="00EA512A">
        <w:rPr>
          <w:rFonts w:ascii="Times New Roman" w:hAnsi="Times New Roman" w:cs="Times New Roman"/>
          <w:sz w:val="28"/>
          <w:szCs w:val="28"/>
        </w:rPr>
        <w:t xml:space="preserve">тиями, за счет средств бюджета </w:t>
      </w:r>
      <w:r w:rsidRPr="00664948">
        <w:rPr>
          <w:rFonts w:ascii="Times New Roman" w:hAnsi="Times New Roman" w:cs="Times New Roman"/>
          <w:sz w:val="28"/>
          <w:szCs w:val="28"/>
        </w:rPr>
        <w:t>МО «Невельский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6D" w:rsidRPr="0049586D" w:rsidRDefault="0049586D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586D">
        <w:rPr>
          <w:rFonts w:ascii="Times New Roman" w:hAnsi="Times New Roman" w:cs="Times New Roman"/>
          <w:sz w:val="28"/>
          <w:szCs w:val="28"/>
        </w:rPr>
        <w:t>. Постановление вступает в силу после опубликования и подлежит размещению на официальном сайте Невельского района в информационно-телекоммуникационной сети Интернет.</w:t>
      </w:r>
    </w:p>
    <w:p w:rsidR="00664948" w:rsidRDefault="0049586D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948" w:rsidRPr="006649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1302A9" w:rsidRPr="00664948" w:rsidRDefault="001302A9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района                                                         О.Е. Майоров</w:t>
      </w:r>
    </w:p>
    <w:p w:rsidR="00215A18" w:rsidRDefault="00215A18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22"/>
      <w:bookmarkStart w:id="1" w:name="P26"/>
      <w:bookmarkEnd w:id="0"/>
      <w:bookmarkEnd w:id="1"/>
    </w:p>
    <w:p w:rsidR="00215A18" w:rsidRDefault="00215A18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23E9" w:rsidRDefault="00E623E9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15A18" w:rsidRDefault="00215A18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5A18" w:rsidRDefault="00215A18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5A18" w:rsidRDefault="00215A18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7919" w:rsidRPr="00664948" w:rsidRDefault="009307E6" w:rsidP="009307E6">
      <w:pPr>
        <w:pStyle w:val="ConsPlusNormal"/>
        <w:tabs>
          <w:tab w:val="left" w:pos="16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3E0E" w:rsidRDefault="00083E0E" w:rsidP="0049586D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48" w:rsidRDefault="00417919" w:rsidP="006649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494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664948">
        <w:rPr>
          <w:rFonts w:ascii="Times New Roman" w:hAnsi="Times New Roman" w:cs="Times New Roman"/>
          <w:sz w:val="28"/>
          <w:szCs w:val="28"/>
        </w:rPr>
        <w:t xml:space="preserve"> </w:t>
      </w:r>
      <w:r w:rsidRPr="006649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64948" w:rsidRDefault="00664948" w:rsidP="006649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494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948">
        <w:rPr>
          <w:rFonts w:ascii="Times New Roman" w:hAnsi="Times New Roman" w:cs="Times New Roman"/>
          <w:sz w:val="28"/>
          <w:szCs w:val="28"/>
        </w:rPr>
        <w:t xml:space="preserve">Невельского </w:t>
      </w:r>
    </w:p>
    <w:p w:rsidR="00664948" w:rsidRPr="00664948" w:rsidRDefault="00664948" w:rsidP="006649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4948">
        <w:rPr>
          <w:rFonts w:ascii="Times New Roman" w:hAnsi="Times New Roman" w:cs="Times New Roman"/>
          <w:sz w:val="28"/>
          <w:szCs w:val="28"/>
        </w:rPr>
        <w:t>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948">
        <w:rPr>
          <w:rFonts w:ascii="Times New Roman" w:hAnsi="Times New Roman" w:cs="Times New Roman"/>
          <w:sz w:val="28"/>
          <w:szCs w:val="28"/>
        </w:rPr>
        <w:t>_______№_____</w:t>
      </w:r>
    </w:p>
    <w:p w:rsidR="00664948" w:rsidRPr="0049586D" w:rsidRDefault="006649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512A" w:rsidRDefault="00664948" w:rsidP="006649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договорам</w:t>
      </w:r>
      <w:r w:rsidR="00EA51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512A" w:rsidRPr="00EA512A">
        <w:t xml:space="preserve"> </w:t>
      </w:r>
      <w:r w:rsidR="00EA512A" w:rsidRPr="00EA512A">
        <w:rPr>
          <w:rFonts w:ascii="Times New Roman" w:hAnsi="Times New Roman" w:cs="Times New Roman"/>
          <w:color w:val="000000" w:themeColor="text1"/>
          <w:sz w:val="28"/>
          <w:szCs w:val="28"/>
        </w:rPr>
        <w:t>заключаемым в связи с предоставлением</w:t>
      </w:r>
      <w:r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инвестиций юридическим лицам, не являющимся </w:t>
      </w:r>
      <w:r w:rsidR="00D53EA4"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и </w:t>
      </w:r>
      <w:r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учреждениями и </w:t>
      </w:r>
      <w:r w:rsidR="00D53EA4"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и </w:t>
      </w:r>
      <w:r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унитарными предприятиями, за счет средств </w:t>
      </w:r>
    </w:p>
    <w:p w:rsidR="00417919" w:rsidRPr="0049586D" w:rsidRDefault="00EA512A" w:rsidP="0066494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664948" w:rsidRPr="0049586D">
        <w:rPr>
          <w:rFonts w:ascii="Times New Roman" w:hAnsi="Times New Roman" w:cs="Times New Roman"/>
          <w:color w:val="000000" w:themeColor="text1"/>
          <w:sz w:val="28"/>
          <w:szCs w:val="28"/>
        </w:rPr>
        <w:t>МО «Невельский район»</w:t>
      </w:r>
    </w:p>
    <w:p w:rsidR="00417919" w:rsidRDefault="00417919">
      <w:pPr>
        <w:pStyle w:val="ConsPlusTitle"/>
        <w:jc w:val="center"/>
      </w:pPr>
      <w:bookmarkStart w:id="3" w:name="P45"/>
      <w:bookmarkEnd w:id="3"/>
    </w:p>
    <w:p w:rsidR="00417919" w:rsidRPr="00BF52CD" w:rsidRDefault="00417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требования к договорам о предоставлении бюджетных инвестиций юридическим лицам, не являющимся </w:t>
      </w:r>
      <w:r w:rsidR="007E7F6D" w:rsidRPr="00BF52CD">
        <w:rPr>
          <w:rFonts w:ascii="Times New Roman" w:hAnsi="Times New Roman" w:cs="Times New Roman"/>
          <w:sz w:val="28"/>
          <w:szCs w:val="28"/>
        </w:rPr>
        <w:t xml:space="preserve">государственными и 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</w:t>
      </w:r>
      <w:r w:rsidR="007E7F6D" w:rsidRPr="00BF52CD">
        <w:rPr>
          <w:rFonts w:ascii="Times New Roman" w:hAnsi="Times New Roman" w:cs="Times New Roman"/>
          <w:sz w:val="28"/>
          <w:szCs w:val="28"/>
        </w:rPr>
        <w:t xml:space="preserve">государственными и 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муниципальными унитарными предприятиями, за счет средств бюджета  МО «Невельский район» </w:t>
      </w:r>
      <w:r w:rsidRPr="00BF52CD">
        <w:rPr>
          <w:rFonts w:ascii="Times New Roman" w:hAnsi="Times New Roman" w:cs="Times New Roman"/>
          <w:sz w:val="28"/>
          <w:szCs w:val="28"/>
        </w:rPr>
        <w:t xml:space="preserve">(далее соответственно - юридическое лицо, получающее бюджетные </w:t>
      </w:r>
      <w:r w:rsidR="00700184">
        <w:rPr>
          <w:rFonts w:ascii="Times New Roman" w:hAnsi="Times New Roman" w:cs="Times New Roman"/>
          <w:sz w:val="28"/>
          <w:szCs w:val="28"/>
        </w:rPr>
        <w:t>инвестиции</w:t>
      </w:r>
      <w:r w:rsidRPr="00BF52CD">
        <w:rPr>
          <w:rFonts w:ascii="Times New Roman" w:hAnsi="Times New Roman" w:cs="Times New Roman"/>
          <w:sz w:val="28"/>
          <w:szCs w:val="28"/>
        </w:rPr>
        <w:t>), заключаемому между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 Администрацией Невельского района, предоставляющей</w:t>
      </w:r>
      <w:r w:rsidRPr="00BF52CD">
        <w:rPr>
          <w:rFonts w:ascii="Times New Roman" w:hAnsi="Times New Roman" w:cs="Times New Roman"/>
          <w:sz w:val="28"/>
          <w:szCs w:val="28"/>
        </w:rPr>
        <w:t xml:space="preserve">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утвержденных решением Собрания депутатов Невельского района  о </w:t>
      </w:r>
      <w:r w:rsidRPr="00BF52CD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664948" w:rsidRPr="00BF52CD">
        <w:rPr>
          <w:rFonts w:ascii="Times New Roman" w:hAnsi="Times New Roman" w:cs="Times New Roman"/>
          <w:sz w:val="28"/>
          <w:szCs w:val="28"/>
        </w:rPr>
        <w:t xml:space="preserve">МО «Невельский район» </w:t>
      </w:r>
      <w:r w:rsidRPr="00BF52CD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</w:t>
      </w:r>
      <w:r w:rsidR="003D74C2" w:rsidRPr="00BF52CD">
        <w:rPr>
          <w:rFonts w:ascii="Times New Roman" w:hAnsi="Times New Roman" w:cs="Times New Roman"/>
          <w:sz w:val="28"/>
          <w:szCs w:val="28"/>
        </w:rPr>
        <w:t>ериод.</w:t>
      </w:r>
    </w:p>
    <w:p w:rsidR="00417919" w:rsidRPr="00BF52CD" w:rsidRDefault="00BF52CD" w:rsidP="003D74C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0"/>
      <w:bookmarkEnd w:id="4"/>
      <w:r w:rsidRPr="00BF52CD">
        <w:rPr>
          <w:rFonts w:ascii="Times New Roman" w:hAnsi="Times New Roman" w:cs="Times New Roman"/>
          <w:sz w:val="28"/>
          <w:szCs w:val="28"/>
        </w:rPr>
        <w:t>3</w:t>
      </w:r>
      <w:r w:rsidR="00417919" w:rsidRPr="00BF52CD">
        <w:rPr>
          <w:rFonts w:ascii="Times New Roman" w:hAnsi="Times New Roman" w:cs="Times New Roman"/>
          <w:sz w:val="28"/>
          <w:szCs w:val="28"/>
        </w:rPr>
        <w:t xml:space="preserve">. Договор о предоставлении бюджетных инвестиций и дополнительные соглашения к указанному договору, предусматривающие внесение в него изменений или его расторжение, заключаются в соответствии с типовыми формами, утверждаемыми </w:t>
      </w:r>
      <w:r w:rsidR="003D74C2" w:rsidRPr="00BF52CD">
        <w:rPr>
          <w:rFonts w:ascii="Times New Roman" w:hAnsi="Times New Roman" w:cs="Times New Roman"/>
          <w:sz w:val="28"/>
          <w:szCs w:val="28"/>
        </w:rPr>
        <w:t>финансовым управлением Администрации Невельского района.</w:t>
      </w:r>
    </w:p>
    <w:p w:rsidR="00417919" w:rsidRPr="00BF52CD" w:rsidRDefault="00BF5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BF52CD">
        <w:rPr>
          <w:rFonts w:ascii="Times New Roman" w:hAnsi="Times New Roman" w:cs="Times New Roman"/>
          <w:sz w:val="28"/>
          <w:szCs w:val="28"/>
        </w:rPr>
        <w:t>4</w:t>
      </w:r>
      <w:r w:rsidR="00417919" w:rsidRPr="00BF52CD">
        <w:rPr>
          <w:rFonts w:ascii="Times New Roman" w:hAnsi="Times New Roman" w:cs="Times New Roman"/>
          <w:sz w:val="28"/>
          <w:szCs w:val="28"/>
        </w:rPr>
        <w:t>. Договором о предоставлении бюджетных инвестиций предусматриваются: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>а) целевое назначение бюджетных инвестиций и их объем (с распределением по годам);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>б) показатели результативности предоставления бюджетных инвестиций (далее - показатели результативности) и их значения;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>в)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 xml:space="preserve">г) сроки (порядок определения </w:t>
      </w: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сроков)</w:t>
      </w:r>
      <w:r w:rsidR="003D74C2"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в установленном </w:t>
      </w: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решения об увеличении уставного капитала юридического лица, получающего бюджетные инвестиции, являющегося акционерным </w:t>
      </w: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обществом, путем размещения дополнительных акций на сумму предоставляемых бюджетных инвестиций;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2CD">
        <w:rPr>
          <w:rFonts w:ascii="Times New Roman" w:hAnsi="Times New Roman" w:cs="Times New Roman"/>
          <w:sz w:val="28"/>
          <w:szCs w:val="28"/>
        </w:rPr>
        <w:t>д)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417919" w:rsidRPr="00BF52CD" w:rsidRDefault="00417919" w:rsidP="003D7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68"/>
      <w:bookmarkEnd w:id="6"/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процесса, в случаях, установленных бюджетным законодательством </w:t>
      </w:r>
      <w:r w:rsidR="0070018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0"/>
      <w:bookmarkEnd w:id="7"/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условие об осуществлении операций по зачислению (списанию) средств на счет, указанный в </w:t>
      </w:r>
      <w:hyperlink w:anchor="P68" w:history="1">
        <w:r w:rsidRPr="00BF52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</w:t>
        </w:r>
      </w:hyperlink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</w:t>
      </w:r>
      <w:hyperlink w:anchor="P70" w:history="1">
        <w:r w:rsidRPr="00BF52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"ж"</w:t>
        </w:r>
      </w:hyperlink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определяющем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и) положения о запрете: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</w:t>
      </w:r>
      <w:r w:rsidR="00BF52CD"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бюджетных инвестиций</w:t>
      </w: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7919" w:rsidRPr="00BF52CD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операций, определенных 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Администрации Невельского района</w:t>
      </w:r>
      <w:r w:rsidRPr="00BF52C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5"/>
      <w:bookmarkEnd w:id="8"/>
      <w:r w:rsidRPr="00E87589">
        <w:rPr>
          <w:rFonts w:ascii="Times New Roman" w:hAnsi="Times New Roman" w:cs="Times New Roman"/>
          <w:sz w:val="28"/>
          <w:szCs w:val="28"/>
        </w:rPr>
        <w:t>к) порядок и сроки представления юридическим лицом, получающим бюджетные инвестиции</w:t>
      </w:r>
      <w:r w:rsidR="003D74C2" w:rsidRPr="00E87589">
        <w:rPr>
          <w:rFonts w:ascii="Times New Roman" w:hAnsi="Times New Roman" w:cs="Times New Roman"/>
          <w:sz w:val="28"/>
          <w:szCs w:val="28"/>
        </w:rPr>
        <w:t>, установленной Администрацией Невельского района</w:t>
      </w:r>
      <w:r w:rsidRPr="00E87589">
        <w:rPr>
          <w:rFonts w:ascii="Times New Roman" w:hAnsi="Times New Roman" w:cs="Times New Roman"/>
          <w:sz w:val="28"/>
          <w:szCs w:val="28"/>
        </w:rPr>
        <w:t xml:space="preserve">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417919" w:rsidRPr="00E87589" w:rsidRDefault="003D7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6"/>
      <w:bookmarkEnd w:id="9"/>
      <w:r w:rsidRPr="00E87589">
        <w:rPr>
          <w:rFonts w:ascii="Times New Roman" w:hAnsi="Times New Roman" w:cs="Times New Roman"/>
          <w:sz w:val="28"/>
          <w:szCs w:val="28"/>
        </w:rPr>
        <w:t xml:space="preserve">л) право Администрации Невельского района </w:t>
      </w:r>
      <w:r w:rsidR="00417919" w:rsidRPr="00E87589">
        <w:rPr>
          <w:rFonts w:ascii="Times New Roman" w:hAnsi="Times New Roman" w:cs="Times New Roman"/>
          <w:sz w:val="28"/>
          <w:szCs w:val="28"/>
        </w:rPr>
        <w:t>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89">
        <w:rPr>
          <w:rFonts w:ascii="Times New Roman" w:hAnsi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89">
        <w:rPr>
          <w:rFonts w:ascii="Times New Roman" w:hAnsi="Times New Roman" w:cs="Times New Roman"/>
          <w:sz w:val="28"/>
          <w:szCs w:val="28"/>
        </w:rPr>
        <w:t>н) порядок возврата юридическим лицом, получающим бюджетные инвестиции, по</w:t>
      </w:r>
      <w:r w:rsidR="00E87589">
        <w:rPr>
          <w:rFonts w:ascii="Times New Roman" w:hAnsi="Times New Roman" w:cs="Times New Roman"/>
          <w:sz w:val="28"/>
          <w:szCs w:val="28"/>
        </w:rPr>
        <w:t xml:space="preserve">лученных средств </w:t>
      </w:r>
      <w:r w:rsidRPr="00E87589">
        <w:rPr>
          <w:rFonts w:ascii="Times New Roman" w:hAnsi="Times New Roman" w:cs="Times New Roman"/>
          <w:sz w:val="28"/>
          <w:szCs w:val="28"/>
        </w:rPr>
        <w:t>в случае установления факта несоблюдения им целей, условий и порядка предоставления бюджетных инвестиций.</w:t>
      </w:r>
    </w:p>
    <w:p w:rsidR="00417919" w:rsidRPr="00E87589" w:rsidRDefault="00E87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89">
        <w:rPr>
          <w:rFonts w:ascii="Times New Roman" w:hAnsi="Times New Roman" w:cs="Times New Roman"/>
          <w:sz w:val="28"/>
          <w:szCs w:val="28"/>
        </w:rPr>
        <w:t>5</w:t>
      </w:r>
      <w:r w:rsidR="00417919" w:rsidRPr="00E87589">
        <w:rPr>
          <w:rFonts w:ascii="Times New Roman" w:hAnsi="Times New Roman" w:cs="Times New Roman"/>
          <w:sz w:val="28"/>
          <w:szCs w:val="28"/>
        </w:rPr>
        <w:t xml:space="preserve">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помимо положений, указанных в </w:t>
      </w:r>
      <w:hyperlink w:anchor="P62" w:history="1">
        <w:r w:rsidR="00417919" w:rsidRPr="00E8758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13B">
        <w:rPr>
          <w:rFonts w:ascii="Times New Roman" w:hAnsi="Times New Roman" w:cs="Times New Roman"/>
          <w:sz w:val="28"/>
          <w:szCs w:val="28"/>
        </w:rPr>
        <w:t>настоящих требований</w:t>
      </w:r>
      <w:r w:rsidR="00417919" w:rsidRPr="00E87589">
        <w:rPr>
          <w:rFonts w:ascii="Times New Roman" w:hAnsi="Times New Roman" w:cs="Times New Roman"/>
          <w:sz w:val="28"/>
          <w:szCs w:val="28"/>
        </w:rPr>
        <w:t>, также предусматриваются: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 w:rsidRPr="00E87589">
        <w:rPr>
          <w:rFonts w:ascii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89">
        <w:rPr>
          <w:rFonts w:ascii="Times New Roman" w:hAnsi="Times New Roman" w:cs="Times New Roman"/>
          <w:sz w:val="28"/>
          <w:szCs w:val="28"/>
        </w:rPr>
        <w:t>б)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</w:t>
      </w:r>
      <w:r w:rsidR="003C10FA" w:rsidRPr="00E87589">
        <w:rPr>
          <w:rFonts w:ascii="Times New Roman" w:hAnsi="Times New Roman" w:cs="Times New Roman"/>
          <w:sz w:val="28"/>
          <w:szCs w:val="28"/>
        </w:rPr>
        <w:t>ом принятым в установленном Администрацией Невельского района порядке нормативным правовым актом Администрации Невельского района</w:t>
      </w:r>
      <w:r w:rsidRPr="00E87589">
        <w:rPr>
          <w:rFonts w:ascii="Times New Roman" w:hAnsi="Times New Roman" w:cs="Times New Roman"/>
          <w:sz w:val="28"/>
          <w:szCs w:val="28"/>
        </w:rPr>
        <w:t xml:space="preserve"> о предоставлении бюджетных инвестиций;</w:t>
      </w:r>
    </w:p>
    <w:p w:rsidR="00417919" w:rsidRPr="00E87589" w:rsidRDefault="0041791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85"/>
      <w:bookmarkEnd w:id="11"/>
      <w:r w:rsidRPr="00E87589">
        <w:rPr>
          <w:rFonts w:ascii="Times New Roman" w:hAnsi="Times New Roman" w:cs="Times New Roman"/>
          <w:sz w:val="28"/>
          <w:szCs w:val="28"/>
        </w:rPr>
        <w:t>в)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</w:t>
      </w:r>
      <w:r>
        <w:t xml:space="preserve"> 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государственной экспертизы проектной документации и результатов инженерных изысканий</w:t>
      </w:r>
      <w:r w:rsidR="003C10FA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проведение в установленном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проверки достоверности определения сметной стоимости объектов капитального строительства, а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г)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д)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</w:t>
      </w:r>
      <w:r w:rsidR="003C10FA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предоставляемых из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3C10FA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«Невельский район»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соответствии с иными договорами о предоставлении бюджетных инвестиций.</w:t>
      </w:r>
    </w:p>
    <w:p w:rsidR="00417919" w:rsidRPr="00E87589" w:rsidRDefault="00E87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о в установленном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(нормативного правового акта) Администрации Невельского района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бюджетных инвестиций.</w:t>
      </w:r>
    </w:p>
    <w:p w:rsidR="00417919" w:rsidRPr="00E87589" w:rsidRDefault="00E875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91"/>
      <w:bookmarkEnd w:id="12"/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(вклады), помимо положений, указанных в </w:t>
      </w:r>
      <w:hyperlink w:anchor="P62" w:history="1">
        <w:r w:rsidR="00417919" w:rsidRPr="00E8758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="0041791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, также предусматриваются: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наименования дочерних обществ;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б)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в)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</w:t>
      </w:r>
      <w:r w:rsidR="003C10FA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сли Администрацией Невельского района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определены иные сроки или порядок определения указанных сроков;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положение о представлении юридическим лицом, получающим бюджетные инвестиции, в составе отчетности, указанной в </w:t>
      </w:r>
      <w:hyperlink w:anchor="P75" w:history="1">
        <w:r w:rsidRPr="00E8758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"к" пункта </w:t>
        </w:r>
      </w:hyperlink>
      <w:r w:rsidR="00E8758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информации об использовании дочерними обществами полученных средств;</w:t>
      </w:r>
    </w:p>
    <w:p w:rsidR="00417919" w:rsidRPr="00E87589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д) положения о предоставлении взносов (вкладов) на условиях, п</w:t>
      </w:r>
      <w:r w:rsidR="003C10FA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редусматривающих право Администрации Невельского района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в отношении дочерних обществ проверок, предусмотренных </w:t>
      </w:r>
      <w:hyperlink w:anchor="P76" w:history="1">
        <w:r w:rsidRPr="00E8758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"л" пункта </w:t>
        </w:r>
      </w:hyperlink>
      <w:r w:rsidR="00E87589"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97"/>
      <w:bookmarkEnd w:id="13"/>
      <w:r w:rsidRPr="00E87589">
        <w:rPr>
          <w:rFonts w:ascii="Times New Roman" w:hAnsi="Times New Roman" w:cs="Times New Roman"/>
          <w:color w:val="000000" w:themeColor="text1"/>
          <w:sz w:val="28"/>
          <w:szCs w:val="28"/>
        </w:rPr>
        <w:t>е)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</w:t>
      </w:r>
      <w:r w:rsidRPr="00E87589">
        <w:rPr>
          <w:color w:val="000000" w:themeColor="text1"/>
        </w:rPr>
        <w:t xml:space="preserve"> </w:t>
      </w: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инвестиции, за несоблюдение дочерними обществами указанных условий.</w:t>
      </w:r>
    </w:p>
    <w:p w:rsidR="00417919" w:rsidRPr="0010192E" w:rsidRDefault="00101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P62" w:history="1">
        <w:r w:rsidR="00417919"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80" w:history="1">
        <w:r w:rsidR="00417919"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"а"</w:t>
        </w:r>
      </w:hyperlink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5" w:history="1">
        <w:r w:rsidR="00417919"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"в" пункта </w:t>
        </w:r>
      </w:hyperlink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91" w:history="1">
        <w:r w:rsidR="00417919"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указанного договора должны соответствовать аналогичным положениям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принятого в устано</w:t>
      </w:r>
      <w:r w:rsidR="003C10FA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вленном Администрацией Невельского района</w:t>
      </w:r>
      <w:r w:rsidR="0010192E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192E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бюджетных инвестиций.</w:t>
      </w:r>
    </w:p>
    <w:p w:rsidR="00417919" w:rsidRPr="0010192E" w:rsidRDefault="00101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01"/>
      <w:bookmarkEnd w:id="14"/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Договором между юридическим лицом, получающим бюджетные инвестиции, и дочерним обществом о предоставлении взноса (вклада), указанным в </w:t>
      </w:r>
      <w:hyperlink w:anchor="P97" w:history="1">
        <w:r w:rsidR="00417919"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"е" пункта </w:t>
        </w:r>
      </w:hyperlink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="00417919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предусматриваются: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а) целевое назначение взноса (вклада) и его объем (с распределением по годам);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б) показатели результативности и их значения;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в) положения, устанавливающие</w:t>
      </w:r>
      <w:r w:rsidRPr="0010192E">
        <w:rPr>
          <w:color w:val="000000" w:themeColor="text1"/>
        </w:rPr>
        <w:t xml:space="preserve"> </w:t>
      </w: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сторон и порядок взаимодействия сторон при реализации договора о предоставлении взноса (вклада);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г) сроки (порядок определения сроков) принятия в установленном порядке решения об увеличении уставного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д) сроки перечисления взноса (вклада);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07"/>
      <w:bookmarkEnd w:id="15"/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P70" w:history="1">
        <w:r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"ж" пункта </w:t>
        </w:r>
      </w:hyperlink>
      <w:r w:rsidR="0010192E"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>, на счете, открытом соответствующему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</w:p>
    <w:p w:rsidR="00417919" w:rsidRPr="0010192E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08"/>
      <w:bookmarkEnd w:id="16"/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условие об осуществлении операций по списанию средств со счета, указанного в </w:t>
      </w:r>
      <w:hyperlink w:anchor="P107" w:history="1">
        <w:r w:rsidRPr="0010192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"е"</w:t>
        </w:r>
      </w:hyperlink>
      <w:r w:rsidRPr="0010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в порядке,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Федеральным казначейством;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условие об осуществлении операций по списанию средств, отраженных на лицевом счете, указанном в </w:t>
      </w:r>
      <w:hyperlink w:anchor="P108" w:history="1">
        <w:r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"ж"</w:t>
        </w:r>
      </w:hyperlink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r w:rsidR="00222593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определяющем,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222593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документов, подлежащих представлению в территориальный орган Федерального казначейства для подтверждения возникновения денежного обязательства дочернего общества, источником финансового обеспечения которых являются указанные средства;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и) положения о запрете:</w:t>
      </w:r>
    </w:p>
    <w:p w:rsidR="00A75CA1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P108" w:history="1">
        <w:r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"ж"</w:t>
        </w:r>
      </w:hyperlink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</w:t>
      </w:r>
      <w:r w:rsidRPr="00222593">
        <w:rPr>
          <w:color w:val="000000" w:themeColor="text1"/>
        </w:rPr>
        <w:t xml:space="preserve"> 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етных инвестиций</w:t>
      </w:r>
      <w:r w:rsidR="007001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75CA1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осуществление операций, определенных 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Администрации Невельского района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взносов (вкладов);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л) право юридического лица, получающего бюджетные инвестиции, и</w:t>
      </w:r>
      <w:r w:rsidR="00A75CA1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Невельского района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проверок соблюдения дочерним обществом целей и условий предоставления взноса (вклада);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несоблюдения им целей и условий, определенных указанным договором.</w:t>
      </w:r>
    </w:p>
    <w:p w:rsidR="00417919" w:rsidRPr="00222593" w:rsidRDefault="00222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17919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 помимо положений, указанных в </w:t>
      </w:r>
      <w:hyperlink w:anchor="P101" w:history="1">
        <w:r w:rsidR="00417919"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="00417919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, также предусматриваются: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размера взноса на осуществление капитальных вложений (с распределением указанных объемов по годам);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инвестиции в объеме, предусмот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>ренном принятым в установленном</w:t>
      </w:r>
      <w:r w:rsidR="00A75CA1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нормативным правовым актом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CA1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Невельского района 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бюджетных инвестиций;</w:t>
      </w:r>
    </w:p>
    <w:p w:rsidR="00417919" w:rsidRPr="00222593" w:rsidRDefault="004179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обязанность дочернего общества обеспечить выполнение работ, указанных в </w:t>
      </w:r>
      <w:hyperlink w:anchor="P85" w:history="1">
        <w:r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"в" пункта </w:t>
        </w:r>
      </w:hyperlink>
      <w:r w:rsidR="00222593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приобретение земельных участков под строительство (в случае необходимости) без использования на эти цели полученных средств, отраженных на лицевом счете, указанном в </w:t>
      </w:r>
      <w:hyperlink w:anchor="P108" w:history="1">
        <w:r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"ж" пункта </w:t>
        </w:r>
      </w:hyperlink>
      <w:r w:rsidR="00222593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D6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7919" w:rsidRPr="00222593" w:rsidRDefault="0041791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22"/>
      <w:bookmarkEnd w:id="17"/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условие о соблюдении дочерним обществом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P108" w:history="1">
        <w:r w:rsidRPr="0022259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"ж" пункта </w:t>
        </w:r>
      </w:hyperlink>
      <w:r w:rsidR="00222593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6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</w:t>
      </w:r>
      <w:r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(в случае реализации инвестиционных проектов по строительству, реконструкции и техническому перевооружению объектов капитального строительства).</w:t>
      </w:r>
    </w:p>
    <w:p w:rsidR="00417919" w:rsidRPr="00222593" w:rsidRDefault="00222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417919" w:rsidRPr="00222593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:rsidR="00417919" w:rsidRPr="00222593" w:rsidRDefault="002225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593">
        <w:rPr>
          <w:rFonts w:ascii="Times New Roman" w:hAnsi="Times New Roman" w:cs="Times New Roman"/>
          <w:sz w:val="28"/>
          <w:szCs w:val="28"/>
        </w:rPr>
        <w:t>12</w:t>
      </w:r>
      <w:r w:rsidR="00417919" w:rsidRPr="00222593">
        <w:rPr>
          <w:rFonts w:ascii="Times New Roman" w:hAnsi="Times New Roman" w:cs="Times New Roman"/>
          <w:sz w:val="28"/>
          <w:szCs w:val="28"/>
        </w:rPr>
        <w:t xml:space="preserve">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</w:t>
      </w:r>
      <w:r w:rsidR="00A75CA1" w:rsidRPr="00222593">
        <w:rPr>
          <w:rFonts w:ascii="Times New Roman" w:hAnsi="Times New Roman" w:cs="Times New Roman"/>
          <w:sz w:val="28"/>
          <w:szCs w:val="28"/>
        </w:rPr>
        <w:t>нормативными правовыми актами Администрации Невельского района</w:t>
      </w:r>
      <w:r w:rsidR="00417919" w:rsidRPr="00222593">
        <w:rPr>
          <w:rFonts w:ascii="Times New Roman" w:hAnsi="Times New Roman" w:cs="Times New Roman"/>
          <w:sz w:val="28"/>
          <w:szCs w:val="28"/>
        </w:rPr>
        <w:t>.</w:t>
      </w:r>
    </w:p>
    <w:p w:rsidR="00417919" w:rsidRDefault="00417919">
      <w:pPr>
        <w:pStyle w:val="ConsPlusNormal"/>
        <w:jc w:val="both"/>
      </w:pPr>
    </w:p>
    <w:p w:rsidR="00417919" w:rsidRDefault="00417919">
      <w:pPr>
        <w:pStyle w:val="ConsPlusNormal"/>
        <w:jc w:val="both"/>
      </w:pPr>
    </w:p>
    <w:p w:rsidR="00417919" w:rsidRDefault="00417919">
      <w:pPr>
        <w:pStyle w:val="ConsPlusNormal"/>
        <w:jc w:val="both"/>
      </w:pPr>
    </w:p>
    <w:p w:rsidR="00417919" w:rsidRDefault="00417919">
      <w:pPr>
        <w:pStyle w:val="ConsPlusNormal"/>
        <w:jc w:val="both"/>
      </w:pPr>
    </w:p>
    <w:p w:rsidR="00607033" w:rsidRDefault="00607033"/>
    <w:sectPr w:rsidR="00607033" w:rsidSect="003E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9"/>
    <w:rsid w:val="00083E0E"/>
    <w:rsid w:val="0010192E"/>
    <w:rsid w:val="001302A9"/>
    <w:rsid w:val="00165427"/>
    <w:rsid w:val="00215A18"/>
    <w:rsid w:val="00222593"/>
    <w:rsid w:val="0027452B"/>
    <w:rsid w:val="002F29BA"/>
    <w:rsid w:val="003C10FA"/>
    <w:rsid w:val="003D74C2"/>
    <w:rsid w:val="00417919"/>
    <w:rsid w:val="0049586D"/>
    <w:rsid w:val="005D613B"/>
    <w:rsid w:val="00607033"/>
    <w:rsid w:val="00664948"/>
    <w:rsid w:val="00700184"/>
    <w:rsid w:val="00770A6A"/>
    <w:rsid w:val="007E7F6D"/>
    <w:rsid w:val="00877FEA"/>
    <w:rsid w:val="009307E6"/>
    <w:rsid w:val="009A59E3"/>
    <w:rsid w:val="00A01635"/>
    <w:rsid w:val="00A75CA1"/>
    <w:rsid w:val="00B33191"/>
    <w:rsid w:val="00B5535E"/>
    <w:rsid w:val="00B62B21"/>
    <w:rsid w:val="00BF52CD"/>
    <w:rsid w:val="00CD2FF6"/>
    <w:rsid w:val="00D53EA4"/>
    <w:rsid w:val="00DB42E7"/>
    <w:rsid w:val="00DF5A71"/>
    <w:rsid w:val="00E623E9"/>
    <w:rsid w:val="00E87589"/>
    <w:rsid w:val="00EA512A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46638-0E78-483F-B5F3-89FF5E56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24E0139EE127D8E49A90BD718542F62BEE90F07FBFA9CB66392C954785C87323F8A7EB734B2A4930DE4A695F51CFAEF663E0FDBF3D70FD22w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2019-05-07T07:31:00Z</cp:lastPrinted>
  <dcterms:created xsi:type="dcterms:W3CDTF">2018-12-03T10:48:00Z</dcterms:created>
  <dcterms:modified xsi:type="dcterms:W3CDTF">2024-06-11T08:53:00Z</dcterms:modified>
</cp:coreProperties>
</file>