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A0" w:rsidRDefault="009230A0" w:rsidP="009230A0">
      <w:pPr>
        <w:widowControl w:val="0"/>
        <w:jc w:val="center"/>
        <w:rPr>
          <w:b/>
          <w:bCs/>
          <w:kern w:val="1"/>
          <w:sz w:val="28"/>
          <w:szCs w:val="20"/>
        </w:rPr>
      </w:pPr>
    </w:p>
    <w:p w:rsidR="00F97E80" w:rsidRPr="00F97E80" w:rsidRDefault="00F97E80" w:rsidP="009230A0">
      <w:pPr>
        <w:widowControl w:val="0"/>
        <w:jc w:val="center"/>
        <w:rPr>
          <w:b/>
          <w:bCs/>
          <w:kern w:val="1"/>
          <w:sz w:val="28"/>
          <w:szCs w:val="20"/>
        </w:rPr>
      </w:pPr>
      <w:r w:rsidRPr="00F97E80">
        <w:rPr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80" w:rsidRPr="00F97E80" w:rsidRDefault="00F97E80" w:rsidP="00F97E80">
      <w:pPr>
        <w:widowControl w:val="0"/>
        <w:jc w:val="center"/>
        <w:rPr>
          <w:b/>
          <w:kern w:val="1"/>
          <w:sz w:val="36"/>
          <w:szCs w:val="20"/>
        </w:rPr>
      </w:pPr>
      <w:r w:rsidRPr="00F97E80">
        <w:rPr>
          <w:b/>
          <w:kern w:val="1"/>
          <w:sz w:val="36"/>
          <w:szCs w:val="20"/>
        </w:rPr>
        <w:t>СОБРАНИЕ  ДЕПУТАТОВ  НЕВЕЛЬСКОГО  МУНИЦИПАЛЬНОГО  ОКРУГА</w:t>
      </w:r>
    </w:p>
    <w:p w:rsidR="00F97E80" w:rsidRPr="00F97E80" w:rsidRDefault="00F97E80" w:rsidP="00F97E80">
      <w:pPr>
        <w:widowControl w:val="0"/>
        <w:jc w:val="center"/>
        <w:rPr>
          <w:rFonts w:ascii="Arial" w:hAnsi="Arial"/>
          <w:b/>
          <w:kern w:val="1"/>
          <w:sz w:val="34"/>
          <w:szCs w:val="20"/>
        </w:rPr>
      </w:pPr>
    </w:p>
    <w:p w:rsidR="00F97E80" w:rsidRPr="00F97E80" w:rsidRDefault="00F97E80" w:rsidP="00F97E80">
      <w:pPr>
        <w:widowControl w:val="0"/>
        <w:jc w:val="center"/>
        <w:rPr>
          <w:b/>
          <w:kern w:val="1"/>
          <w:sz w:val="32"/>
          <w:szCs w:val="20"/>
        </w:rPr>
      </w:pPr>
      <w:r w:rsidRPr="00F97E80">
        <w:rPr>
          <w:b/>
          <w:kern w:val="1"/>
          <w:sz w:val="32"/>
          <w:szCs w:val="20"/>
        </w:rPr>
        <w:t>Р Е Ш Е Н И Е</w:t>
      </w:r>
    </w:p>
    <w:p w:rsidR="00F97E80" w:rsidRPr="00F97E80" w:rsidRDefault="00F97E80" w:rsidP="00F97E80">
      <w:pPr>
        <w:widowControl w:val="0"/>
        <w:rPr>
          <w:b/>
          <w:kern w:val="1"/>
          <w:sz w:val="32"/>
          <w:szCs w:val="20"/>
        </w:rPr>
      </w:pPr>
    </w:p>
    <w:p w:rsidR="00F97E80" w:rsidRPr="00B0480C" w:rsidRDefault="00F97E80" w:rsidP="00F97E80">
      <w:pPr>
        <w:widowControl w:val="0"/>
        <w:rPr>
          <w:b/>
          <w:kern w:val="1"/>
          <w:sz w:val="26"/>
          <w:szCs w:val="20"/>
          <w:u w:val="single"/>
        </w:rPr>
      </w:pPr>
      <w:r w:rsidRPr="00B0480C">
        <w:rPr>
          <w:b/>
          <w:kern w:val="1"/>
          <w:sz w:val="26"/>
          <w:szCs w:val="20"/>
          <w:u w:val="single"/>
        </w:rPr>
        <w:t xml:space="preserve">от </w:t>
      </w:r>
      <w:r w:rsidR="00B0480C" w:rsidRPr="00B0480C">
        <w:rPr>
          <w:b/>
          <w:kern w:val="1"/>
          <w:sz w:val="26"/>
          <w:szCs w:val="20"/>
          <w:u w:val="single"/>
        </w:rPr>
        <w:t>22.10.2024 года</w:t>
      </w:r>
      <w:r w:rsidRPr="00B0480C">
        <w:rPr>
          <w:b/>
          <w:kern w:val="1"/>
          <w:sz w:val="26"/>
          <w:szCs w:val="20"/>
          <w:u w:val="single"/>
        </w:rPr>
        <w:t xml:space="preserve"> №</w:t>
      </w:r>
      <w:r w:rsidR="00B0480C" w:rsidRPr="00B0480C">
        <w:rPr>
          <w:b/>
          <w:kern w:val="1"/>
          <w:sz w:val="26"/>
          <w:szCs w:val="20"/>
          <w:u w:val="single"/>
        </w:rPr>
        <w:t>163</w:t>
      </w:r>
    </w:p>
    <w:p w:rsidR="00F97E80" w:rsidRPr="00F97E80" w:rsidRDefault="00F97E80" w:rsidP="00F97E80">
      <w:pPr>
        <w:widowControl w:val="0"/>
        <w:ind w:right="-1050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 xml:space="preserve">(принято на </w:t>
      </w:r>
      <w:r w:rsidR="00B0480C">
        <w:rPr>
          <w:bCs/>
          <w:kern w:val="1"/>
          <w:szCs w:val="20"/>
        </w:rPr>
        <w:t>12</w:t>
      </w:r>
      <w:r w:rsidRPr="00F97E80">
        <w:rPr>
          <w:bCs/>
          <w:kern w:val="1"/>
          <w:szCs w:val="20"/>
        </w:rPr>
        <w:t xml:space="preserve"> -й сессии</w:t>
      </w:r>
    </w:p>
    <w:p w:rsidR="00F97E80" w:rsidRPr="00F97E80" w:rsidRDefault="00F97E80" w:rsidP="00F97E80">
      <w:pPr>
        <w:widowControl w:val="0"/>
        <w:ind w:right="-1050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>Собрания первого созыва)</w:t>
      </w:r>
    </w:p>
    <w:p w:rsidR="00F97E80" w:rsidRPr="00F97E80" w:rsidRDefault="00F97E80" w:rsidP="00F97E80">
      <w:pPr>
        <w:widowControl w:val="0"/>
        <w:ind w:right="-1050" w:firstLine="709"/>
        <w:rPr>
          <w:bCs/>
          <w:kern w:val="1"/>
          <w:szCs w:val="20"/>
        </w:rPr>
      </w:pPr>
      <w:r w:rsidRPr="00F97E80">
        <w:rPr>
          <w:bCs/>
          <w:kern w:val="1"/>
          <w:szCs w:val="20"/>
        </w:rPr>
        <w:t xml:space="preserve">г. Невель  </w:t>
      </w:r>
    </w:p>
    <w:p w:rsidR="00F97E80" w:rsidRPr="00F97E80" w:rsidRDefault="00F97E80" w:rsidP="00F97E80"/>
    <w:p w:rsidR="00B0480C" w:rsidRDefault="00F97E80" w:rsidP="00F97E80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0480C">
        <w:rPr>
          <w:b/>
          <w:sz w:val="28"/>
          <w:szCs w:val="28"/>
          <w:lang w:eastAsia="ru-RU"/>
        </w:rPr>
        <w:t>О внесении изменения в решение Собрания депутатов Невельского муниципального округа от 28.11.2023 №63 «Об установлении налога на имущество физических лиц на территории Невельского</w:t>
      </w:r>
    </w:p>
    <w:p w:rsidR="00F97E80" w:rsidRPr="00B0480C" w:rsidRDefault="00F97E80" w:rsidP="00F97E80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B0480C">
        <w:rPr>
          <w:b/>
          <w:sz w:val="28"/>
          <w:szCs w:val="28"/>
          <w:lang w:eastAsia="ru-RU"/>
        </w:rPr>
        <w:t xml:space="preserve"> муниципального округа»</w:t>
      </w:r>
    </w:p>
    <w:p w:rsidR="00F97E80" w:rsidRPr="00B0480C" w:rsidRDefault="00F97E80" w:rsidP="00F97E80">
      <w:pPr>
        <w:rPr>
          <w:b/>
          <w:sz w:val="28"/>
          <w:szCs w:val="28"/>
        </w:rPr>
      </w:pPr>
    </w:p>
    <w:p w:rsidR="00F97E80" w:rsidRPr="00B0480C" w:rsidRDefault="00F97E80" w:rsidP="00F97E80">
      <w:pPr>
        <w:rPr>
          <w:b/>
          <w:sz w:val="28"/>
          <w:szCs w:val="28"/>
        </w:rPr>
      </w:pPr>
    </w:p>
    <w:p w:rsidR="00F97E80" w:rsidRDefault="00F97E80" w:rsidP="00D0685C">
      <w:pPr>
        <w:suppressAutoHyphens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F97E80">
        <w:rPr>
          <w:sz w:val="28"/>
          <w:szCs w:val="28"/>
        </w:rPr>
        <w:t xml:space="preserve">        В соответствии с главой 32 Налогового кодекса Российской Федерации, </w:t>
      </w:r>
      <w:r w:rsidRPr="00F97E80">
        <w:rPr>
          <w:color w:val="000000"/>
          <w:sz w:val="28"/>
          <w:szCs w:val="28"/>
        </w:rPr>
        <w:t xml:space="preserve">Уставом Невельского муниципального округа, </w:t>
      </w:r>
      <w:r w:rsidRPr="00F97E80">
        <w:rPr>
          <w:sz w:val="28"/>
          <w:szCs w:val="28"/>
        </w:rPr>
        <w:t xml:space="preserve">Собрание депутатов Невельского муниципального округа </w:t>
      </w:r>
      <w:r w:rsidRPr="008C119F">
        <w:rPr>
          <w:b/>
          <w:sz w:val="32"/>
          <w:szCs w:val="32"/>
        </w:rPr>
        <w:t>р</w:t>
      </w:r>
      <w:r w:rsidR="008C119F">
        <w:rPr>
          <w:b/>
          <w:sz w:val="32"/>
          <w:szCs w:val="32"/>
        </w:rPr>
        <w:t xml:space="preserve"> </w:t>
      </w:r>
      <w:r w:rsidRPr="008C119F">
        <w:rPr>
          <w:b/>
          <w:sz w:val="32"/>
          <w:szCs w:val="32"/>
        </w:rPr>
        <w:t>е</w:t>
      </w:r>
      <w:r w:rsidR="008C119F">
        <w:rPr>
          <w:b/>
          <w:sz w:val="32"/>
          <w:szCs w:val="32"/>
        </w:rPr>
        <w:t xml:space="preserve"> </w:t>
      </w:r>
      <w:r w:rsidRPr="008C119F">
        <w:rPr>
          <w:b/>
          <w:sz w:val="32"/>
          <w:szCs w:val="32"/>
        </w:rPr>
        <w:t>ш</w:t>
      </w:r>
      <w:r w:rsidR="008C119F">
        <w:rPr>
          <w:b/>
          <w:sz w:val="32"/>
          <w:szCs w:val="32"/>
        </w:rPr>
        <w:t xml:space="preserve"> </w:t>
      </w:r>
      <w:r w:rsidRPr="008C119F">
        <w:rPr>
          <w:b/>
          <w:sz w:val="32"/>
          <w:szCs w:val="32"/>
        </w:rPr>
        <w:t>и</w:t>
      </w:r>
      <w:r w:rsidR="008C119F">
        <w:rPr>
          <w:b/>
          <w:sz w:val="32"/>
          <w:szCs w:val="32"/>
        </w:rPr>
        <w:t xml:space="preserve"> </w:t>
      </w:r>
      <w:r w:rsidRPr="008C119F">
        <w:rPr>
          <w:b/>
          <w:sz w:val="32"/>
          <w:szCs w:val="32"/>
        </w:rPr>
        <w:t>л</w:t>
      </w:r>
      <w:r w:rsidR="008C119F">
        <w:rPr>
          <w:b/>
          <w:sz w:val="32"/>
          <w:szCs w:val="32"/>
        </w:rPr>
        <w:t xml:space="preserve"> </w:t>
      </w:r>
      <w:r w:rsidRPr="008C119F">
        <w:rPr>
          <w:b/>
          <w:sz w:val="32"/>
          <w:szCs w:val="32"/>
        </w:rPr>
        <w:t>о:</w:t>
      </w:r>
    </w:p>
    <w:p w:rsidR="00B0480C" w:rsidRPr="008C119F" w:rsidRDefault="00B0480C" w:rsidP="00D0685C">
      <w:pPr>
        <w:suppressAutoHyphens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F97E80" w:rsidRPr="00D0685C" w:rsidRDefault="00F97E80" w:rsidP="00D0685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4A47CF">
        <w:rPr>
          <w:sz w:val="28"/>
          <w:szCs w:val="28"/>
          <w:lang w:eastAsia="ru-RU"/>
        </w:rPr>
        <w:t xml:space="preserve">          1. Внести</w:t>
      </w:r>
      <w:r w:rsidRPr="00F97E80">
        <w:rPr>
          <w:sz w:val="28"/>
          <w:szCs w:val="28"/>
          <w:lang w:eastAsia="ru-RU"/>
        </w:rPr>
        <w:t xml:space="preserve"> изменение в решение Собрания депутатов Невельского муниципального округа от 28.11.2023 №63 «Об установлении налога на имущество физических лиц на территории Невельского муниц</w:t>
      </w:r>
      <w:r w:rsidR="00CA2D5C">
        <w:rPr>
          <w:sz w:val="28"/>
          <w:szCs w:val="28"/>
          <w:lang w:eastAsia="ru-RU"/>
        </w:rPr>
        <w:t xml:space="preserve">ипального округа», </w:t>
      </w:r>
      <w:r w:rsidR="00D0685C" w:rsidRPr="00D0685C">
        <w:rPr>
          <w:sz w:val="28"/>
          <w:szCs w:val="28"/>
          <w:lang w:eastAsia="ru-RU"/>
        </w:rPr>
        <w:t>изложив пункт</w:t>
      </w:r>
      <w:r w:rsidR="009D28EF">
        <w:rPr>
          <w:sz w:val="28"/>
          <w:szCs w:val="28"/>
          <w:lang w:eastAsia="ru-RU"/>
        </w:rPr>
        <w:t>ы 3, 3.1</w:t>
      </w:r>
      <w:r w:rsidR="004A47CF">
        <w:rPr>
          <w:sz w:val="28"/>
          <w:szCs w:val="28"/>
          <w:lang w:eastAsia="ru-RU"/>
        </w:rPr>
        <w:t xml:space="preserve"> </w:t>
      </w:r>
      <w:r w:rsidR="00CA2D5C" w:rsidRPr="00D0685C">
        <w:rPr>
          <w:sz w:val="28"/>
          <w:szCs w:val="28"/>
          <w:lang w:eastAsia="ru-RU"/>
        </w:rPr>
        <w:t>в новой редакции</w:t>
      </w:r>
      <w:r w:rsidRPr="00D0685C">
        <w:rPr>
          <w:sz w:val="28"/>
          <w:szCs w:val="28"/>
          <w:lang w:eastAsia="ru-RU"/>
        </w:rPr>
        <w:t xml:space="preserve"> следующего содержания:</w:t>
      </w:r>
    </w:p>
    <w:p w:rsidR="00577DAB" w:rsidRDefault="004A47CF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D0685C" w:rsidRPr="00D0685C">
        <w:rPr>
          <w:sz w:val="28"/>
          <w:szCs w:val="28"/>
        </w:rPr>
        <w:t>3. Установить ставки налога на имущество физических лиц в следующих в размерах:</w:t>
      </w:r>
      <w:r w:rsidR="00D0685C" w:rsidRPr="00D0685C">
        <w:rPr>
          <w:sz w:val="28"/>
          <w:szCs w:val="28"/>
        </w:rPr>
        <w:br/>
      </w:r>
      <w:r w:rsidR="00D0685C">
        <w:rPr>
          <w:sz w:val="28"/>
          <w:szCs w:val="28"/>
        </w:rPr>
        <w:t xml:space="preserve">      </w:t>
      </w:r>
      <w:r w:rsidR="004728AA">
        <w:rPr>
          <w:sz w:val="28"/>
          <w:szCs w:val="28"/>
        </w:rPr>
        <w:t>1)</w:t>
      </w:r>
      <w:r w:rsidR="008C119F">
        <w:rPr>
          <w:sz w:val="28"/>
          <w:szCs w:val="28"/>
        </w:rPr>
        <w:t xml:space="preserve"> </w:t>
      </w:r>
      <w:r w:rsidR="004728AA">
        <w:rPr>
          <w:sz w:val="28"/>
          <w:szCs w:val="28"/>
        </w:rPr>
        <w:t>0,1</w:t>
      </w:r>
      <w:r w:rsidR="00577DAB">
        <w:rPr>
          <w:sz w:val="28"/>
          <w:szCs w:val="28"/>
        </w:rPr>
        <w:t xml:space="preserve"> </w:t>
      </w:r>
      <w:r w:rsidR="004728AA">
        <w:rPr>
          <w:sz w:val="28"/>
          <w:szCs w:val="28"/>
        </w:rPr>
        <w:t>процента</w:t>
      </w:r>
      <w:r w:rsidR="00577DAB">
        <w:rPr>
          <w:sz w:val="28"/>
          <w:szCs w:val="28"/>
        </w:rPr>
        <w:t xml:space="preserve"> </w:t>
      </w:r>
      <w:r w:rsidR="004728AA">
        <w:rPr>
          <w:sz w:val="28"/>
          <w:szCs w:val="28"/>
        </w:rPr>
        <w:t>в</w:t>
      </w:r>
      <w:r w:rsidR="00577DAB">
        <w:rPr>
          <w:sz w:val="28"/>
          <w:szCs w:val="28"/>
        </w:rPr>
        <w:t xml:space="preserve"> </w:t>
      </w:r>
      <w:r w:rsidR="00D0685C" w:rsidRPr="00D0685C">
        <w:rPr>
          <w:sz w:val="28"/>
          <w:szCs w:val="28"/>
        </w:rPr>
        <w:t xml:space="preserve">отношении: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>а) жилых домов, частей жилых домов, квартир, частей квартир, комнат;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>б) объектов незавершенного строительства в случае, если проектируемым назначением таких объектов является жилой дом;</w:t>
      </w:r>
      <w:r w:rsidR="00577DAB">
        <w:rPr>
          <w:sz w:val="28"/>
          <w:szCs w:val="28"/>
        </w:rPr>
        <w:t xml:space="preserve">   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>в) единых недвижимых комплексов, в состав ко</w:t>
      </w:r>
      <w:r w:rsidR="004A47CF">
        <w:rPr>
          <w:sz w:val="28"/>
          <w:szCs w:val="28"/>
        </w:rPr>
        <w:t xml:space="preserve">торых   входит хотя бы один жилой </w:t>
      </w:r>
      <w:r w:rsidRPr="00D0685C">
        <w:rPr>
          <w:sz w:val="28"/>
          <w:szCs w:val="28"/>
        </w:rPr>
        <w:t xml:space="preserve">дом;   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 г) гаражей и машино-мест, в том числе расположенных в объектах налогообложения, указанных в подпункте 2 настоящего пункта;    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    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2) 2 процентов в отношении:      </w:t>
      </w:r>
    </w:p>
    <w:p w:rsidR="00577DAB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- объектов налогообложения, входящих в перечень, определяемый уполномоченным органом исполнительной власти Псковской области, включающий:      </w:t>
      </w:r>
    </w:p>
    <w:p w:rsidR="00D0685C" w:rsidRPr="00D0685C" w:rsidRDefault="00D0685C" w:rsidP="00D72A9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lastRenderedPageBreak/>
        <w:t>административно-деловые центры и торговые центры (комплексы) и помещения в них;</w:t>
      </w:r>
    </w:p>
    <w:p w:rsidR="00D0685C" w:rsidRPr="00D0685C" w:rsidRDefault="00D0685C" w:rsidP="00D0685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     </w:t>
      </w:r>
      <w:r w:rsidR="00577DAB">
        <w:rPr>
          <w:sz w:val="28"/>
          <w:szCs w:val="28"/>
        </w:rPr>
        <w:t xml:space="preserve">  </w:t>
      </w:r>
      <w:r w:rsidRPr="00D0685C">
        <w:rPr>
          <w:sz w:val="28"/>
          <w:szCs w:val="28"/>
        </w:rPr>
        <w:t xml:space="preserve">нежилые помещения, назначение, разрешенное использование или наименование которых в </w:t>
      </w:r>
      <w:r w:rsidR="00D72A93">
        <w:rPr>
          <w:sz w:val="28"/>
          <w:szCs w:val="28"/>
        </w:rPr>
        <w:t xml:space="preserve"> </w:t>
      </w:r>
      <w:r w:rsidRPr="00D0685C">
        <w:rPr>
          <w:sz w:val="28"/>
          <w:szCs w:val="28"/>
        </w:rPr>
        <w:t>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r w:rsidRPr="00D0685C">
        <w:rPr>
          <w:sz w:val="28"/>
          <w:szCs w:val="28"/>
        </w:rPr>
        <w:br/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D0685C">
        <w:rPr>
          <w:rFonts w:eastAsiaTheme="minorHAnsi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D07703" w:rsidRDefault="00D0685C" w:rsidP="00D0685C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685C">
        <w:rPr>
          <w:sz w:val="28"/>
          <w:szCs w:val="28"/>
        </w:rPr>
        <w:t xml:space="preserve">        3) 0,5 процента в отношении прочих объектов налогообложения.</w:t>
      </w:r>
    </w:p>
    <w:p w:rsidR="009230A0" w:rsidRDefault="00D07703" w:rsidP="00D72A9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3.1. </w:t>
      </w:r>
      <w:r>
        <w:rPr>
          <w:sz w:val="28"/>
          <w:szCs w:val="28"/>
          <w:lang w:eastAsia="ru-RU"/>
        </w:rPr>
        <w:t>Освободить</w:t>
      </w:r>
      <w:r w:rsidR="00D72A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уплаты</w:t>
      </w:r>
      <w:r w:rsidR="00D72A9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налога</w:t>
      </w:r>
      <w:r w:rsidRPr="00074526">
        <w:rPr>
          <w:sz w:val="28"/>
          <w:szCs w:val="28"/>
          <w:lang w:eastAsia="ru-RU"/>
        </w:rPr>
        <w:t xml:space="preserve"> на имущество физ</w:t>
      </w:r>
      <w:r>
        <w:rPr>
          <w:sz w:val="28"/>
          <w:szCs w:val="28"/>
          <w:lang w:eastAsia="ru-RU"/>
        </w:rPr>
        <w:t xml:space="preserve">ических лиц </w:t>
      </w:r>
      <w:r w:rsidRPr="00074526">
        <w:rPr>
          <w:sz w:val="28"/>
          <w:szCs w:val="28"/>
          <w:lang w:eastAsia="ru-RU"/>
        </w:rPr>
        <w:t>за один объект недвижимого имущества (квартира, часть квартиры, комната, жилой дом, часть жилого дома), расположенный на территории Невельского муниципального округа,</w:t>
      </w:r>
      <w:r w:rsidR="00577DAB">
        <w:rPr>
          <w:sz w:val="28"/>
          <w:szCs w:val="28"/>
          <w:lang w:eastAsia="ru-RU"/>
        </w:rPr>
        <w:t xml:space="preserve"> проживающих на территории Псковской области </w:t>
      </w:r>
      <w:r w:rsidRPr="00074526">
        <w:rPr>
          <w:sz w:val="28"/>
          <w:szCs w:val="28"/>
          <w:lang w:eastAsia="ru-RU"/>
        </w:rPr>
        <w:t>вдову (вдо</w:t>
      </w:r>
      <w:r w:rsidR="00A61FC5">
        <w:rPr>
          <w:sz w:val="28"/>
          <w:szCs w:val="28"/>
          <w:lang w:eastAsia="ru-RU"/>
        </w:rPr>
        <w:t xml:space="preserve">вца) погибшего (умершего) Героя </w:t>
      </w:r>
      <w:r w:rsidRPr="00074526">
        <w:rPr>
          <w:sz w:val="28"/>
          <w:szCs w:val="28"/>
          <w:lang w:eastAsia="ru-RU"/>
        </w:rPr>
        <w:t>Российской Федерации, Героя Советского Союза,</w:t>
      </w:r>
      <w:r w:rsidR="00D72A93">
        <w:rPr>
          <w:sz w:val="28"/>
          <w:szCs w:val="28"/>
          <w:lang w:eastAsia="ru-RU"/>
        </w:rPr>
        <w:t xml:space="preserve"> </w:t>
      </w:r>
      <w:r w:rsidR="009230A0">
        <w:rPr>
          <w:sz w:val="28"/>
          <w:szCs w:val="28"/>
          <w:lang w:eastAsia="ru-RU"/>
        </w:rPr>
        <w:t xml:space="preserve">не вступившую </w:t>
      </w:r>
      <w:r w:rsidRPr="00074526">
        <w:rPr>
          <w:sz w:val="28"/>
          <w:szCs w:val="28"/>
          <w:lang w:eastAsia="ru-RU"/>
        </w:rPr>
        <w:t>(не</w:t>
      </w:r>
      <w:r w:rsidR="00D72A93">
        <w:rPr>
          <w:sz w:val="28"/>
          <w:szCs w:val="28"/>
          <w:lang w:eastAsia="ru-RU"/>
        </w:rPr>
        <w:t xml:space="preserve"> вступившего) в повторный брак.</w:t>
      </w:r>
      <w:r w:rsidR="004A47CF">
        <w:rPr>
          <w:sz w:val="28"/>
          <w:szCs w:val="28"/>
        </w:rPr>
        <w:t>».</w:t>
      </w:r>
    </w:p>
    <w:p w:rsidR="00D0685C" w:rsidRPr="00D0685C" w:rsidRDefault="00D0685C" w:rsidP="00D72A93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D0685C">
        <w:rPr>
          <w:sz w:val="28"/>
          <w:szCs w:val="28"/>
        </w:rPr>
        <w:t xml:space="preserve">           2. Настоящее решение вступает в силу с 01 января 2025 года, но не ранее чем по истечении одного месяца со дня его официального опубликования. </w:t>
      </w:r>
    </w:p>
    <w:p w:rsidR="00D0685C" w:rsidRPr="00D0685C" w:rsidRDefault="00D0685C" w:rsidP="00D0685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85C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газете «Невельский вестник».</w:t>
      </w:r>
    </w:p>
    <w:p w:rsidR="00F97E80" w:rsidRPr="00F97E80" w:rsidRDefault="00F97E80" w:rsidP="00F97E80">
      <w:pPr>
        <w:widowControl w:val="0"/>
        <w:tabs>
          <w:tab w:val="left" w:pos="10205"/>
        </w:tabs>
        <w:suppressAutoHyphens w:val="0"/>
        <w:contextualSpacing/>
        <w:jc w:val="both"/>
        <w:rPr>
          <w:sz w:val="28"/>
          <w:szCs w:val="28"/>
          <w:lang w:eastAsia="ru-RU"/>
        </w:rPr>
      </w:pPr>
    </w:p>
    <w:p w:rsidR="00F97E80" w:rsidRPr="00F97E80" w:rsidRDefault="00F97E80" w:rsidP="00F97E80">
      <w:pPr>
        <w:widowControl w:val="0"/>
        <w:jc w:val="both"/>
        <w:rPr>
          <w:kern w:val="1"/>
          <w:sz w:val="28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8"/>
        <w:gridCol w:w="4237"/>
      </w:tblGrid>
      <w:tr w:rsidR="00F97E80" w:rsidRPr="00F97E80" w:rsidTr="007509C0">
        <w:tc>
          <w:tcPr>
            <w:tcW w:w="5618" w:type="dxa"/>
            <w:shd w:val="clear" w:color="auto" w:fill="auto"/>
          </w:tcPr>
          <w:p w:rsidR="00F97E80" w:rsidRPr="00F97E80" w:rsidRDefault="00F97E80" w:rsidP="00F97E80">
            <w:pPr>
              <w:widowControl w:val="0"/>
              <w:tabs>
                <w:tab w:val="left" w:pos="1035"/>
                <w:tab w:val="left" w:pos="3915"/>
              </w:tabs>
              <w:spacing w:after="240"/>
              <w:rPr>
                <w:rFonts w:eastAsia="Lucida Sans Unicode"/>
                <w:kern w:val="2"/>
                <w:sz w:val="28"/>
                <w:szCs w:val="28"/>
                <w:lang w:eastAsia="ru-RU"/>
              </w:rPr>
            </w:pPr>
            <w:r w:rsidRPr="00F97E80">
              <w:rPr>
                <w:rFonts w:eastAsia="Lucida Sans Unicode"/>
                <w:kern w:val="1"/>
                <w:sz w:val="28"/>
                <w:szCs w:val="28"/>
                <w:lang w:eastAsia="ru-RU"/>
              </w:rPr>
              <w:t xml:space="preserve">Глава Невельского муниципального округа 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F97E80" w:rsidRPr="00F97E80" w:rsidRDefault="00F97E80" w:rsidP="00F97E80">
            <w:pPr>
              <w:widowControl w:val="0"/>
              <w:snapToGrid w:val="0"/>
              <w:jc w:val="right"/>
              <w:rPr>
                <w:rFonts w:eastAsia="Lucida Sans Unicode"/>
                <w:kern w:val="2"/>
                <w:sz w:val="28"/>
                <w:szCs w:val="28"/>
                <w:lang w:eastAsia="ru-RU"/>
              </w:rPr>
            </w:pPr>
            <w:r w:rsidRPr="00F97E80">
              <w:rPr>
                <w:rFonts w:eastAsia="Lucida Sans Unicode"/>
                <w:kern w:val="1"/>
                <w:sz w:val="28"/>
                <w:szCs w:val="28"/>
                <w:lang w:eastAsia="ru-RU"/>
              </w:rPr>
              <w:t>О.Е. Майоров</w:t>
            </w:r>
          </w:p>
        </w:tc>
      </w:tr>
      <w:tr w:rsidR="00F97E80" w:rsidRPr="00F97E80" w:rsidTr="00BF33E6">
        <w:tc>
          <w:tcPr>
            <w:tcW w:w="5618" w:type="dxa"/>
            <w:shd w:val="clear" w:color="auto" w:fill="auto"/>
          </w:tcPr>
          <w:p w:rsidR="00F97E80" w:rsidRPr="00F97E80" w:rsidRDefault="00F97E80" w:rsidP="00F97E80">
            <w:pPr>
              <w:widowControl w:val="0"/>
              <w:spacing w:before="120" w:line="276" w:lineRule="auto"/>
              <w:rPr>
                <w:kern w:val="1"/>
                <w:sz w:val="28"/>
                <w:szCs w:val="28"/>
              </w:rPr>
            </w:pPr>
            <w:r w:rsidRPr="00F97E80">
              <w:rPr>
                <w:rFonts w:eastAsia="Lucida Sans Unicode"/>
                <w:kern w:val="1"/>
                <w:sz w:val="28"/>
                <w:szCs w:val="28"/>
              </w:rPr>
              <w:t>Председатель Собрания депутатов Невельского муниципального округа</w:t>
            </w:r>
          </w:p>
        </w:tc>
        <w:tc>
          <w:tcPr>
            <w:tcW w:w="4237" w:type="dxa"/>
            <w:shd w:val="clear" w:color="auto" w:fill="auto"/>
            <w:vAlign w:val="bottom"/>
          </w:tcPr>
          <w:p w:rsidR="00F97E80" w:rsidRPr="00F97E80" w:rsidRDefault="00BF33E6" w:rsidP="00F97E80">
            <w:pPr>
              <w:widowControl w:val="0"/>
              <w:spacing w:line="276" w:lineRule="auto"/>
              <w:jc w:val="right"/>
              <w:rPr>
                <w:kern w:val="1"/>
                <w:sz w:val="28"/>
                <w:szCs w:val="20"/>
              </w:rPr>
            </w:pPr>
            <w:r>
              <w:rPr>
                <w:kern w:val="1"/>
                <w:sz w:val="28"/>
                <w:szCs w:val="20"/>
              </w:rPr>
              <w:t xml:space="preserve">  </w:t>
            </w:r>
            <w:r w:rsidR="00F97E80" w:rsidRPr="00F97E80">
              <w:rPr>
                <w:kern w:val="1"/>
                <w:sz w:val="28"/>
                <w:szCs w:val="20"/>
              </w:rPr>
              <w:t>В.С. Зуев</w:t>
            </w:r>
          </w:p>
        </w:tc>
      </w:tr>
    </w:tbl>
    <w:p w:rsidR="005418A5" w:rsidRDefault="005418A5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</w:p>
    <w:p w:rsidR="009230A0" w:rsidRDefault="009230A0" w:rsidP="005418A5">
      <w:pPr>
        <w:jc w:val="both"/>
        <w:rPr>
          <w:sz w:val="28"/>
          <w:szCs w:val="28"/>
        </w:rPr>
      </w:pPr>
      <w:bookmarkStart w:id="0" w:name="_GoBack"/>
      <w:bookmarkEnd w:id="0"/>
    </w:p>
    <w:sectPr w:rsidR="009230A0" w:rsidSect="00854110">
      <w:pgSz w:w="11906" w:h="16838"/>
      <w:pgMar w:top="426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EC" w:rsidRDefault="007252EC" w:rsidP="0035023A">
      <w:r>
        <w:separator/>
      </w:r>
    </w:p>
  </w:endnote>
  <w:endnote w:type="continuationSeparator" w:id="0">
    <w:p w:rsidR="007252EC" w:rsidRDefault="007252EC" w:rsidP="0035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EC" w:rsidRDefault="007252EC" w:rsidP="0035023A">
      <w:r>
        <w:separator/>
      </w:r>
    </w:p>
  </w:footnote>
  <w:footnote w:type="continuationSeparator" w:id="0">
    <w:p w:rsidR="007252EC" w:rsidRDefault="007252EC" w:rsidP="0035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7"/>
    <w:rsid w:val="00117874"/>
    <w:rsid w:val="00203E97"/>
    <w:rsid w:val="0035023A"/>
    <w:rsid w:val="0036193E"/>
    <w:rsid w:val="003C3052"/>
    <w:rsid w:val="004728AA"/>
    <w:rsid w:val="004A47CF"/>
    <w:rsid w:val="005418A5"/>
    <w:rsid w:val="00577DAB"/>
    <w:rsid w:val="00602F3F"/>
    <w:rsid w:val="006D5497"/>
    <w:rsid w:val="00705C54"/>
    <w:rsid w:val="007252EC"/>
    <w:rsid w:val="00730370"/>
    <w:rsid w:val="007346AC"/>
    <w:rsid w:val="00821AC1"/>
    <w:rsid w:val="008721C5"/>
    <w:rsid w:val="008C119F"/>
    <w:rsid w:val="009230A0"/>
    <w:rsid w:val="009D28EF"/>
    <w:rsid w:val="009D6C6F"/>
    <w:rsid w:val="009F3CD5"/>
    <w:rsid w:val="00A61FC5"/>
    <w:rsid w:val="00B0480C"/>
    <w:rsid w:val="00BC29CC"/>
    <w:rsid w:val="00BF33E6"/>
    <w:rsid w:val="00CA2D5C"/>
    <w:rsid w:val="00D0685C"/>
    <w:rsid w:val="00D07703"/>
    <w:rsid w:val="00D72A93"/>
    <w:rsid w:val="00EC08E0"/>
    <w:rsid w:val="00F9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B1223-280E-4C23-8FFB-86235A8D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18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5418A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9CC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D0685C"/>
    <w:pPr>
      <w:ind w:left="720"/>
      <w:contextualSpacing/>
    </w:pPr>
  </w:style>
  <w:style w:type="paragraph" w:customStyle="1" w:styleId="formattext">
    <w:name w:val="formattext"/>
    <w:basedOn w:val="a"/>
    <w:rsid w:val="00D0685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 Spacing"/>
    <w:uiPriority w:val="1"/>
    <w:qFormat/>
    <w:rsid w:val="00D0685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502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2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502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2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230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2B42-1D67-43F3-B967-1DF44AFB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Sobraniye</cp:lastModifiedBy>
  <cp:revision>4</cp:revision>
  <cp:lastPrinted>2024-10-22T07:59:00Z</cp:lastPrinted>
  <dcterms:created xsi:type="dcterms:W3CDTF">2024-10-22T07:58:00Z</dcterms:created>
  <dcterms:modified xsi:type="dcterms:W3CDTF">2024-10-22T07:59:00Z</dcterms:modified>
</cp:coreProperties>
</file>