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E6A" w:rsidRPr="00CA2E6A" w:rsidRDefault="00CA2E6A" w:rsidP="00CA2E6A">
      <w:pPr>
        <w:widowControl w:val="0"/>
        <w:suppressAutoHyphens/>
        <w:spacing w:after="0" w:line="240" w:lineRule="auto"/>
        <w:jc w:val="right"/>
        <w:rPr>
          <w:rFonts w:ascii="Times New Roman" w:eastAsia="Lucida Sans Unicode" w:hAnsi="Times New Roman" w:cs="Tahoma"/>
          <w:color w:val="000000"/>
          <w:sz w:val="28"/>
          <w:szCs w:val="34"/>
          <w:lang w:bidi="en-US"/>
        </w:rPr>
      </w:pPr>
    </w:p>
    <w:p w:rsidR="00500201" w:rsidRDefault="00CA2E6A" w:rsidP="00500201">
      <w:pPr>
        <w:widowControl w:val="0"/>
        <w:suppressAutoHyphens/>
        <w:spacing w:after="0" w:line="240" w:lineRule="auto"/>
        <w:jc w:val="center"/>
        <w:rPr>
          <w:rFonts w:ascii="Times New Roman" w:eastAsia="Lucida Sans Unicode" w:hAnsi="Times New Roman" w:cs="Tahoma"/>
          <w:color w:val="000000"/>
          <w:sz w:val="28"/>
          <w:szCs w:val="34"/>
          <w:lang w:bidi="en-US"/>
        </w:rPr>
      </w:pPr>
      <w:r w:rsidRPr="00CA2E6A">
        <w:rPr>
          <w:rFonts w:ascii="Times New Roman" w:eastAsia="Lucida Sans Unicode" w:hAnsi="Times New Roman" w:cs="Tahoma"/>
          <w:noProof/>
          <w:color w:val="000000"/>
          <w:sz w:val="28"/>
          <w:szCs w:val="34"/>
          <w:lang w:eastAsia="ru-RU"/>
        </w:rPr>
        <w:drawing>
          <wp:inline distT="0" distB="0" distL="0" distR="0">
            <wp:extent cx="695325" cy="866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5325" cy="866775"/>
                    </a:xfrm>
                    <a:prstGeom prst="rect">
                      <a:avLst/>
                    </a:prstGeom>
                    <a:solidFill>
                      <a:srgbClr val="FFFFFF"/>
                    </a:solidFill>
                    <a:ln>
                      <a:noFill/>
                    </a:ln>
                  </pic:spPr>
                </pic:pic>
              </a:graphicData>
            </a:graphic>
          </wp:inline>
        </w:drawing>
      </w:r>
      <w:r w:rsidRPr="00CA2E6A">
        <w:rPr>
          <w:rFonts w:ascii="Times New Roman" w:eastAsia="Lucida Sans Unicode" w:hAnsi="Times New Roman" w:cs="Tahoma"/>
          <w:color w:val="000000"/>
          <w:sz w:val="28"/>
          <w:szCs w:val="34"/>
          <w:lang w:bidi="en-US"/>
        </w:rPr>
        <w:t xml:space="preserve">        </w:t>
      </w:r>
    </w:p>
    <w:p w:rsidR="00500201" w:rsidRDefault="00500201" w:rsidP="00500201">
      <w:pPr>
        <w:widowControl w:val="0"/>
        <w:suppressAutoHyphens/>
        <w:spacing w:after="0" w:line="240" w:lineRule="auto"/>
        <w:jc w:val="center"/>
        <w:rPr>
          <w:rFonts w:ascii="Times New Roman" w:eastAsia="Lucida Sans Unicode" w:hAnsi="Times New Roman" w:cs="Tahoma"/>
          <w:color w:val="000000"/>
          <w:sz w:val="28"/>
          <w:szCs w:val="34"/>
          <w:lang w:bidi="en-US"/>
        </w:rPr>
      </w:pPr>
    </w:p>
    <w:p w:rsidR="000B1FCB" w:rsidRDefault="00500201" w:rsidP="000B1FCB">
      <w:pPr>
        <w:tabs>
          <w:tab w:val="left" w:pos="709"/>
        </w:tabs>
        <w:ind w:firstLine="142"/>
        <w:jc w:val="center"/>
        <w:rPr>
          <w:rFonts w:ascii="Times New Roman" w:eastAsia="Calibri" w:hAnsi="Times New Roman" w:cs="Times New Roman"/>
          <w:b/>
          <w:sz w:val="36"/>
          <w:szCs w:val="36"/>
        </w:rPr>
      </w:pPr>
      <w:r w:rsidRPr="00500201">
        <w:rPr>
          <w:rFonts w:ascii="Times New Roman" w:eastAsia="Calibri" w:hAnsi="Times New Roman" w:cs="Times New Roman"/>
          <w:b/>
          <w:sz w:val="36"/>
          <w:szCs w:val="36"/>
        </w:rPr>
        <w:t xml:space="preserve">СОБРАНИЕ ДЕПУТАТОВ НЕВЕЛЬСКОГО </w:t>
      </w:r>
    </w:p>
    <w:p w:rsidR="000B1FCB" w:rsidRPr="00500201" w:rsidRDefault="00500201" w:rsidP="000B1FCB">
      <w:pPr>
        <w:tabs>
          <w:tab w:val="left" w:pos="709"/>
        </w:tabs>
        <w:ind w:firstLine="142"/>
        <w:jc w:val="center"/>
        <w:rPr>
          <w:rFonts w:ascii="Times New Roman" w:eastAsia="Calibri" w:hAnsi="Times New Roman" w:cs="Times New Roman"/>
          <w:b/>
          <w:sz w:val="36"/>
          <w:szCs w:val="36"/>
        </w:rPr>
      </w:pPr>
      <w:r w:rsidRPr="00500201">
        <w:rPr>
          <w:rFonts w:ascii="Times New Roman" w:eastAsia="Calibri" w:hAnsi="Times New Roman" w:cs="Times New Roman"/>
          <w:b/>
          <w:sz w:val="36"/>
          <w:szCs w:val="36"/>
        </w:rPr>
        <w:t>МУН</w:t>
      </w:r>
      <w:r w:rsidR="000B1FCB" w:rsidRPr="00500201">
        <w:rPr>
          <w:rFonts w:ascii="Times New Roman" w:eastAsia="Calibri" w:hAnsi="Times New Roman" w:cs="Times New Roman"/>
          <w:b/>
          <w:sz w:val="36"/>
          <w:szCs w:val="36"/>
        </w:rPr>
        <w:t>ИЦИПАЛЬНОГО ОКРУГА</w:t>
      </w:r>
    </w:p>
    <w:p w:rsidR="000B1FCB" w:rsidRDefault="000B1FCB" w:rsidP="000B1FCB">
      <w:pPr>
        <w:spacing w:after="0"/>
        <w:jc w:val="center"/>
        <w:rPr>
          <w:rFonts w:ascii="Times New Roman" w:eastAsia="Calibri" w:hAnsi="Times New Roman" w:cs="Times New Roman"/>
          <w:b/>
          <w:sz w:val="28"/>
          <w:szCs w:val="28"/>
        </w:rPr>
      </w:pPr>
      <w:r w:rsidRPr="000B1FCB">
        <w:rPr>
          <w:rFonts w:ascii="Times New Roman" w:eastAsia="Calibri" w:hAnsi="Times New Roman" w:cs="Times New Roman"/>
          <w:b/>
          <w:sz w:val="28"/>
          <w:szCs w:val="28"/>
        </w:rPr>
        <w:t xml:space="preserve"> </w:t>
      </w:r>
    </w:p>
    <w:p w:rsidR="000B1FCB" w:rsidRPr="000B1FCB" w:rsidRDefault="000B1FCB" w:rsidP="000B1FCB">
      <w:pPr>
        <w:ind w:firstLine="540"/>
        <w:jc w:val="center"/>
        <w:rPr>
          <w:rFonts w:ascii="Times New Roman" w:eastAsia="Calibri" w:hAnsi="Times New Roman" w:cs="Times New Roman"/>
          <w:sz w:val="32"/>
          <w:szCs w:val="32"/>
        </w:rPr>
      </w:pPr>
      <w:r w:rsidRPr="000B1FCB">
        <w:rPr>
          <w:rFonts w:ascii="Times New Roman" w:eastAsia="Calibri" w:hAnsi="Times New Roman" w:cs="Times New Roman"/>
          <w:b/>
          <w:sz w:val="32"/>
          <w:szCs w:val="32"/>
        </w:rPr>
        <w:t>Р Е Ш Е Н И Е</w:t>
      </w:r>
    </w:p>
    <w:p w:rsidR="000B1FCB" w:rsidRPr="000B1FCB" w:rsidRDefault="000B1FCB" w:rsidP="000B1FCB">
      <w:pPr>
        <w:ind w:firstLine="540"/>
        <w:jc w:val="center"/>
        <w:rPr>
          <w:rFonts w:ascii="Calibri" w:eastAsia="Calibri" w:hAnsi="Calibri" w:cs="Times New Roman"/>
          <w:sz w:val="28"/>
          <w:szCs w:val="28"/>
        </w:rPr>
      </w:pPr>
    </w:p>
    <w:p w:rsidR="000B1FCB" w:rsidRPr="000B1FCB" w:rsidRDefault="000B1FCB" w:rsidP="000B1FCB">
      <w:pPr>
        <w:numPr>
          <w:ilvl w:val="0"/>
          <w:numId w:val="4"/>
        </w:numPr>
        <w:suppressAutoHyphens/>
        <w:spacing w:after="0" w:line="240" w:lineRule="auto"/>
        <w:rPr>
          <w:rFonts w:ascii="Times New Roman" w:eastAsia="Times New Roman" w:hAnsi="Times New Roman" w:cs="Times New Roman"/>
          <w:b/>
          <w:sz w:val="26"/>
          <w:szCs w:val="24"/>
          <w:u w:val="single"/>
          <w:lang w:eastAsia="ar-SA"/>
        </w:rPr>
      </w:pPr>
      <w:r w:rsidRPr="000B1FCB">
        <w:rPr>
          <w:rFonts w:ascii="Times New Roman" w:eastAsia="Times New Roman" w:hAnsi="Times New Roman" w:cs="Times New Roman"/>
          <w:b/>
          <w:sz w:val="26"/>
          <w:szCs w:val="24"/>
          <w:u w:val="single"/>
          <w:lang w:eastAsia="ar-SA"/>
        </w:rPr>
        <w:t>от 29.04.2025 года №223</w:t>
      </w:r>
    </w:p>
    <w:p w:rsidR="000B1FCB" w:rsidRPr="000B1FCB" w:rsidRDefault="000B1FCB" w:rsidP="000B1FCB">
      <w:pPr>
        <w:numPr>
          <w:ilvl w:val="0"/>
          <w:numId w:val="4"/>
        </w:numPr>
        <w:suppressAutoHyphens/>
        <w:spacing w:after="0" w:line="240" w:lineRule="auto"/>
        <w:rPr>
          <w:rFonts w:ascii="Times New Roman" w:eastAsia="Times New Roman" w:hAnsi="Times New Roman" w:cs="Times New Roman"/>
          <w:bCs/>
          <w:sz w:val="24"/>
          <w:szCs w:val="24"/>
          <w:lang w:eastAsia="ar-SA"/>
        </w:rPr>
      </w:pPr>
      <w:r w:rsidRPr="000B1FCB">
        <w:rPr>
          <w:rFonts w:ascii="Times New Roman" w:eastAsia="Times New Roman" w:hAnsi="Times New Roman" w:cs="Times New Roman"/>
          <w:bCs/>
          <w:sz w:val="24"/>
          <w:szCs w:val="24"/>
          <w:lang w:eastAsia="ar-SA"/>
        </w:rPr>
        <w:t>(принято на 17-й сессии</w:t>
      </w:r>
    </w:p>
    <w:p w:rsidR="000B1FCB" w:rsidRPr="000B1FCB" w:rsidRDefault="000B1FCB" w:rsidP="000B1FCB">
      <w:pPr>
        <w:numPr>
          <w:ilvl w:val="0"/>
          <w:numId w:val="4"/>
        </w:numPr>
        <w:suppressAutoHyphens/>
        <w:spacing w:after="0" w:line="240" w:lineRule="auto"/>
        <w:rPr>
          <w:rFonts w:ascii="Times New Roman" w:eastAsia="Times New Roman" w:hAnsi="Times New Roman" w:cs="Times New Roman"/>
          <w:bCs/>
          <w:sz w:val="24"/>
          <w:szCs w:val="24"/>
          <w:lang w:eastAsia="ar-SA"/>
        </w:rPr>
      </w:pPr>
      <w:r w:rsidRPr="000B1FCB">
        <w:rPr>
          <w:rFonts w:ascii="Times New Roman" w:eastAsia="Times New Roman" w:hAnsi="Times New Roman" w:cs="Times New Roman"/>
          <w:bCs/>
          <w:sz w:val="24"/>
          <w:szCs w:val="24"/>
          <w:lang w:eastAsia="ar-SA"/>
        </w:rPr>
        <w:t xml:space="preserve">Собрания первого созыва)            </w:t>
      </w:r>
    </w:p>
    <w:p w:rsidR="000B1FCB" w:rsidRPr="000B1FCB" w:rsidRDefault="000B1FCB" w:rsidP="000B1FCB">
      <w:pPr>
        <w:numPr>
          <w:ilvl w:val="0"/>
          <w:numId w:val="4"/>
        </w:numPr>
        <w:suppressAutoHyphens/>
        <w:spacing w:after="0" w:line="240" w:lineRule="auto"/>
        <w:rPr>
          <w:rFonts w:ascii="Arial" w:eastAsia="Times New Roman" w:hAnsi="Arial" w:cs="Times New Roman"/>
          <w:i/>
          <w:sz w:val="40"/>
          <w:szCs w:val="40"/>
          <w:lang w:eastAsia="ar-SA"/>
        </w:rPr>
      </w:pPr>
      <w:r w:rsidRPr="000B1FCB">
        <w:rPr>
          <w:rFonts w:ascii="Times New Roman" w:eastAsia="Times New Roman" w:hAnsi="Times New Roman" w:cs="Times New Roman"/>
          <w:bCs/>
          <w:sz w:val="24"/>
          <w:szCs w:val="24"/>
          <w:lang w:eastAsia="ar-SA"/>
        </w:rPr>
        <w:t xml:space="preserve">         г. Невель</w:t>
      </w:r>
    </w:p>
    <w:p w:rsidR="000B1FCB" w:rsidRDefault="000B1FCB" w:rsidP="000B1FCB">
      <w:pPr>
        <w:spacing w:after="0"/>
        <w:jc w:val="center"/>
        <w:rPr>
          <w:rFonts w:ascii="Times New Roman" w:eastAsia="Calibri" w:hAnsi="Times New Roman" w:cs="Times New Roman"/>
          <w:b/>
          <w:sz w:val="28"/>
          <w:szCs w:val="28"/>
        </w:rPr>
      </w:pPr>
    </w:p>
    <w:p w:rsidR="000B1FCB" w:rsidRDefault="000B1FCB" w:rsidP="000B1FCB">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 </w:t>
      </w:r>
      <w:r w:rsidRPr="000B1FCB">
        <w:rPr>
          <w:rFonts w:ascii="Times New Roman" w:eastAsia="Calibri" w:hAnsi="Times New Roman" w:cs="Times New Roman"/>
          <w:b/>
          <w:sz w:val="28"/>
          <w:szCs w:val="28"/>
        </w:rPr>
        <w:t>назначении публичных слушаний для обсуждения проекта решения Собрания депутатов Невельского муниципального округа «Об утверждении годового отчета об исполнении бюджета муниципального образования «Невельский муниципальный округ Псковской области»</w:t>
      </w:r>
    </w:p>
    <w:p w:rsidR="000B1FCB" w:rsidRPr="000B1FCB" w:rsidRDefault="000B1FCB" w:rsidP="000B1FCB">
      <w:pPr>
        <w:spacing w:after="0"/>
        <w:jc w:val="center"/>
        <w:rPr>
          <w:rFonts w:ascii="Times New Roman" w:eastAsia="Calibri" w:hAnsi="Times New Roman" w:cs="Times New Roman"/>
          <w:b/>
          <w:sz w:val="28"/>
          <w:szCs w:val="28"/>
        </w:rPr>
      </w:pPr>
      <w:bookmarkStart w:id="0" w:name="_GoBack"/>
      <w:bookmarkEnd w:id="0"/>
      <w:r w:rsidRPr="000B1FCB">
        <w:rPr>
          <w:rFonts w:ascii="Times New Roman" w:eastAsia="Calibri" w:hAnsi="Times New Roman" w:cs="Times New Roman"/>
          <w:b/>
          <w:sz w:val="28"/>
          <w:szCs w:val="28"/>
        </w:rPr>
        <w:t xml:space="preserve"> за 2024 год»</w:t>
      </w:r>
    </w:p>
    <w:p w:rsidR="000B1FCB" w:rsidRPr="000B1FCB" w:rsidRDefault="000B1FCB" w:rsidP="000B1FCB">
      <w:pPr>
        <w:spacing w:line="276" w:lineRule="auto"/>
        <w:jc w:val="both"/>
        <w:rPr>
          <w:rFonts w:ascii="Times New Roman" w:eastAsia="Calibri" w:hAnsi="Times New Roman" w:cs="Times New Roman"/>
          <w:sz w:val="28"/>
          <w:szCs w:val="28"/>
        </w:rPr>
      </w:pPr>
    </w:p>
    <w:p w:rsidR="000B1FCB" w:rsidRPr="000B1FCB" w:rsidRDefault="000B1FCB" w:rsidP="000B1FCB">
      <w:pPr>
        <w:spacing w:line="276" w:lineRule="auto"/>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         В соответствии со статьей 28 Федерального закона от 06.10.2003г. № 131-ФЗ «Об общих принципах организации местного самоуправления в Российской Федерации», частью 3 статьи 18 Устава Невельского муниципального округа Собрание депутатов Невельского муниципального округа   </w:t>
      </w:r>
      <w:r w:rsidRPr="000B1FCB">
        <w:rPr>
          <w:rFonts w:ascii="Times New Roman" w:eastAsia="Calibri" w:hAnsi="Times New Roman" w:cs="Times New Roman"/>
          <w:b/>
          <w:sz w:val="32"/>
          <w:szCs w:val="32"/>
        </w:rPr>
        <w:t>р е ш и л о:</w:t>
      </w:r>
    </w:p>
    <w:p w:rsidR="000B1FCB" w:rsidRPr="000B1FCB" w:rsidRDefault="000B1FCB" w:rsidP="000B1FCB">
      <w:pPr>
        <w:numPr>
          <w:ilvl w:val="0"/>
          <w:numId w:val="9"/>
        </w:numPr>
        <w:spacing w:line="276" w:lineRule="auto"/>
        <w:ind w:left="0" w:firstLine="450"/>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Назначить на 14 мая 2025 года публичные слушания для обсуждения проекта решения Собрания депутатов Невельского муниципального округа «Об утверждении годового отчета об исполнении бюджета муниципального образования «Невельский муниципальный округ Псковской области» за 2024 год», внесенного в Собрание депутатов муниципального округа Главой Невельского муниципального округа исх.от 21.03.2025 №1511/01-17. </w:t>
      </w:r>
    </w:p>
    <w:p w:rsidR="000B1FCB" w:rsidRPr="000B1FCB" w:rsidRDefault="000B1FCB" w:rsidP="000B1FCB">
      <w:pPr>
        <w:numPr>
          <w:ilvl w:val="0"/>
          <w:numId w:val="9"/>
        </w:numPr>
        <w:spacing w:line="276" w:lineRule="auto"/>
        <w:ind w:left="0" w:firstLine="450"/>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Установить начало публичных слушаний – 15 часов 00 минут, место проведения публичных слушаний – малый зал Администрации Невельского муниципального округа (г.Невель, пл.К.Маркса, д.1).</w:t>
      </w:r>
    </w:p>
    <w:p w:rsidR="000B1FCB" w:rsidRPr="000B1FCB" w:rsidRDefault="000B1FCB" w:rsidP="000B1FCB">
      <w:pPr>
        <w:numPr>
          <w:ilvl w:val="0"/>
          <w:numId w:val="9"/>
        </w:numPr>
        <w:ind w:left="-142" w:firstLine="284"/>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Определить аппарат Собрания депутатов Невельского муниципального округа органом, ответственным за организацию проведения публичных слушаний;</w:t>
      </w:r>
    </w:p>
    <w:p w:rsidR="000B1FCB" w:rsidRPr="000B1FCB" w:rsidRDefault="000B1FCB" w:rsidP="000B1FCB">
      <w:pPr>
        <w:numPr>
          <w:ilvl w:val="0"/>
          <w:numId w:val="9"/>
        </w:numPr>
        <w:spacing w:line="276" w:lineRule="auto"/>
        <w:ind w:left="-142" w:firstLine="284"/>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Лицо, уполномоченное на ведение публичных слушаний – Майоров Олег Евгеньевич – Глава Невельского муниципального округа, в случае его </w:t>
      </w:r>
      <w:r w:rsidRPr="000B1FCB">
        <w:rPr>
          <w:rFonts w:ascii="Times New Roman" w:eastAsia="Calibri" w:hAnsi="Times New Roman" w:cs="Times New Roman"/>
          <w:sz w:val="28"/>
          <w:szCs w:val="28"/>
        </w:rPr>
        <w:lastRenderedPageBreak/>
        <w:t>отсутствия Зуев Виктор Сергеевич - председатель Собрания депутатов Невельского муниципального округа.</w:t>
      </w:r>
    </w:p>
    <w:p w:rsidR="000B1FCB" w:rsidRPr="000B1FCB" w:rsidRDefault="000B1FCB" w:rsidP="000B1FCB">
      <w:pPr>
        <w:numPr>
          <w:ilvl w:val="0"/>
          <w:numId w:val="9"/>
        </w:numPr>
        <w:ind w:left="-142" w:firstLine="568"/>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   Создать организационный комитет по подготовке и проведению публичных слушаний в составе:</w:t>
      </w:r>
    </w:p>
    <w:p w:rsidR="000B1FCB" w:rsidRPr="000B1FCB" w:rsidRDefault="000B1FCB" w:rsidP="000B1FCB">
      <w:pPr>
        <w:ind w:left="-142" w:firstLine="41"/>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                   от Собрания депутатов Невельского муниципального округа – депутаты Быстрова М.В.  и Арцыховская Л.Г.;</w:t>
      </w:r>
    </w:p>
    <w:p w:rsidR="000B1FCB" w:rsidRPr="000B1FCB" w:rsidRDefault="000B1FCB" w:rsidP="000B1FCB">
      <w:pPr>
        <w:ind w:left="-76"/>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                   от Администрации Невельского муниципального округа (по согласованию) –</w:t>
      </w:r>
      <w:r w:rsidRPr="000B1FCB">
        <w:rPr>
          <w:rFonts w:ascii="Times New Roman" w:eastAsia="Calibri" w:hAnsi="Times New Roman" w:cs="Times New Roman"/>
          <w:i/>
          <w:iCs/>
          <w:sz w:val="28"/>
        </w:rPr>
        <w:t xml:space="preserve"> </w:t>
      </w:r>
      <w:r w:rsidRPr="000B1FCB">
        <w:rPr>
          <w:rFonts w:ascii="Times New Roman" w:eastAsia="Calibri" w:hAnsi="Times New Roman" w:cs="Times New Roman"/>
          <w:iCs/>
          <w:sz w:val="28"/>
        </w:rPr>
        <w:t>первый заместитель Главы администрации округа Храбрая В.А. и начальник юридического отдела Администрации Невельского муниципального округа Тарасенко М.В.</w:t>
      </w:r>
    </w:p>
    <w:p w:rsidR="000B1FCB" w:rsidRPr="000B1FCB" w:rsidRDefault="000B1FCB" w:rsidP="000B1FCB">
      <w:pPr>
        <w:numPr>
          <w:ilvl w:val="0"/>
          <w:numId w:val="9"/>
        </w:numPr>
        <w:spacing w:line="276" w:lineRule="auto"/>
        <w:ind w:left="-142" w:firstLine="568"/>
        <w:contextualSpacing/>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Установить, что заблаговременное ознакомление с проектом решения  Собрания депутатов Невельского муниципального округа «Об утверждении годового отчета об исполнении бюджета муниципального образования «Невельский муниципальный округ Псковской области» за 2024 год» осуществляется на официальном сайте администрации Невельского муниципального округа, в аппарате Собрания депутатов Невельского муниципального округа (г.Невель, пл.К.Маркса,1, кабинет № 22), в читальном зале центральной районной библиотеки (г.Невель, ул.Энгельса, д.2 3-й этаж) и непосредственно перед началом проведения назначенных настоящим решением публичных слушаний по месту их проведения.</w:t>
      </w:r>
    </w:p>
    <w:p w:rsidR="000B1FCB" w:rsidRPr="000B1FCB" w:rsidRDefault="000B1FCB" w:rsidP="000B1FCB">
      <w:pPr>
        <w:ind w:left="-142"/>
        <w:contextualSpacing/>
        <w:jc w:val="both"/>
        <w:rPr>
          <w:rFonts w:ascii="Times New Roman" w:eastAsia="Calibri" w:hAnsi="Times New Roman" w:cs="Times New Roman"/>
        </w:rPr>
      </w:pPr>
      <w:r w:rsidRPr="000B1FCB">
        <w:rPr>
          <w:rFonts w:ascii="Times New Roman" w:eastAsia="Calibri" w:hAnsi="Times New Roman" w:cs="Times New Roman"/>
          <w:sz w:val="28"/>
          <w:szCs w:val="28"/>
        </w:rPr>
        <w:t xml:space="preserve">            Предложения(обращения граждан) и организаций по проекту решения Собрания депутатов Невельского муниципального округа «Об утверждении годового отчета об исполнении бюджета муниципального образования «Невельский муниципальный округ Псковской области» за 2024 год» направляются в срок до 17.00 13.05.2025 по адресу:182500,г.Невель, Псковская область, пл.К.Маркса, д.1,кабинет №22 либо в электронном виде на адрес электронной почты </w:t>
      </w:r>
      <w:hyperlink r:id="rId6" w:history="1">
        <w:r w:rsidRPr="000B1FCB">
          <w:rPr>
            <w:rFonts w:ascii="Times New Roman" w:eastAsia="Calibri" w:hAnsi="Times New Roman" w:cs="Times New Roman"/>
            <w:sz w:val="28"/>
            <w:szCs w:val="28"/>
          </w:rPr>
          <w:t>sobranie@nevel.reg60.ru</w:t>
        </w:r>
      </w:hyperlink>
    </w:p>
    <w:p w:rsidR="000B1FCB" w:rsidRPr="000B1FCB" w:rsidRDefault="000B1FCB" w:rsidP="000B1FCB">
      <w:pPr>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7. Настоящее решение вступает в силу на следующий день после его официального опубликования в сетевом издании «Нормативные правовые акты Псковской области» - http://pravo.pskov.ru/ и подлежит размещению на официальном сайте муниципального образования Невельский муниципальный округ в информационно-телекоммуникационной сети «Интернет» - https://admnevel.gosuslugi.ru. </w:t>
      </w:r>
    </w:p>
    <w:p w:rsidR="000B1FCB" w:rsidRPr="000B1FCB" w:rsidRDefault="000B1FCB" w:rsidP="000B1FCB">
      <w:pPr>
        <w:jc w:val="both"/>
        <w:rPr>
          <w:rFonts w:ascii="Times New Roman" w:eastAsia="Calibri" w:hAnsi="Times New Roman" w:cs="Times New Roman"/>
          <w:sz w:val="28"/>
          <w:szCs w:val="28"/>
        </w:rPr>
      </w:pPr>
    </w:p>
    <w:p w:rsidR="000B1FCB" w:rsidRPr="000B1FCB" w:rsidRDefault="000B1FCB" w:rsidP="000B1FCB">
      <w:pPr>
        <w:jc w:val="both"/>
        <w:rPr>
          <w:rFonts w:ascii="Times New Roman" w:eastAsia="Calibri" w:hAnsi="Times New Roman" w:cs="Times New Roman"/>
          <w:sz w:val="28"/>
          <w:szCs w:val="28"/>
        </w:rPr>
      </w:pPr>
    </w:p>
    <w:p w:rsidR="000B1FCB" w:rsidRPr="000B1FCB" w:rsidRDefault="000B1FCB" w:rsidP="000B1FCB">
      <w:pPr>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Председатель Собрания депутатов</w:t>
      </w:r>
    </w:p>
    <w:p w:rsidR="000B1FCB" w:rsidRPr="000B1FCB" w:rsidRDefault="000B1FCB" w:rsidP="000B1FCB">
      <w:pPr>
        <w:jc w:val="both"/>
        <w:rPr>
          <w:rFonts w:ascii="Times New Roman" w:eastAsia="Calibri" w:hAnsi="Times New Roman" w:cs="Times New Roman"/>
          <w:sz w:val="28"/>
          <w:szCs w:val="28"/>
        </w:rPr>
      </w:pPr>
      <w:r w:rsidRPr="000B1FCB">
        <w:rPr>
          <w:rFonts w:ascii="Times New Roman" w:eastAsia="Calibri" w:hAnsi="Times New Roman" w:cs="Times New Roman"/>
          <w:sz w:val="28"/>
          <w:szCs w:val="28"/>
        </w:rPr>
        <w:t xml:space="preserve"> Невельского муниципального округа                                              В.С.Зуев</w:t>
      </w:r>
    </w:p>
    <w:p w:rsidR="000B1FCB" w:rsidRPr="000B1FCB" w:rsidRDefault="000B1FCB" w:rsidP="000B1FCB">
      <w:pPr>
        <w:jc w:val="both"/>
        <w:rPr>
          <w:rFonts w:ascii="Times New Roman" w:eastAsia="Calibri" w:hAnsi="Times New Roman" w:cs="Times New Roman"/>
          <w:sz w:val="28"/>
          <w:szCs w:val="28"/>
        </w:rPr>
      </w:pPr>
    </w:p>
    <w:p w:rsidR="000B1FCB" w:rsidRPr="000B1FCB" w:rsidRDefault="000B1FCB" w:rsidP="000B1FCB">
      <w:pPr>
        <w:jc w:val="both"/>
        <w:rPr>
          <w:rFonts w:ascii="Times New Roman" w:eastAsia="Calibri" w:hAnsi="Times New Roman" w:cs="Times New Roman"/>
          <w:sz w:val="28"/>
          <w:szCs w:val="28"/>
        </w:rPr>
      </w:pPr>
    </w:p>
    <w:p w:rsidR="00C73128" w:rsidRPr="00B805EA" w:rsidRDefault="00C73128" w:rsidP="000B1FCB">
      <w:pPr>
        <w:ind w:firstLine="540"/>
        <w:jc w:val="center"/>
        <w:rPr>
          <w:rFonts w:ascii="Times New Roman" w:eastAsia="Lucida Sans Unicode" w:hAnsi="Times New Roman" w:cs="Tahoma"/>
          <w:color w:val="000000"/>
          <w:sz w:val="28"/>
          <w:szCs w:val="28"/>
          <w:lang w:bidi="en-US"/>
        </w:rPr>
      </w:pPr>
    </w:p>
    <w:sectPr w:rsidR="00C73128" w:rsidRPr="00B805EA" w:rsidSect="000B1FCB">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1B45C77"/>
    <w:multiLevelType w:val="hybridMultilevel"/>
    <w:tmpl w:val="93CEC5EA"/>
    <w:lvl w:ilvl="0" w:tplc="B4489AC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983B14"/>
    <w:multiLevelType w:val="hybridMultilevel"/>
    <w:tmpl w:val="0EC04300"/>
    <w:lvl w:ilvl="0" w:tplc="CF86CE0A">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44BC35F5"/>
    <w:multiLevelType w:val="hybridMultilevel"/>
    <w:tmpl w:val="388A8FE4"/>
    <w:lvl w:ilvl="0" w:tplc="EFEAAD84">
      <w:start w:val="1"/>
      <w:numFmt w:val="decimal"/>
      <w:lvlText w:val="%1."/>
      <w:lvlJc w:val="left"/>
      <w:pPr>
        <w:ind w:left="171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4" w15:restartNumberingAfterBreak="0">
    <w:nsid w:val="53B20A2E"/>
    <w:multiLevelType w:val="hybridMultilevel"/>
    <w:tmpl w:val="FADC8CF2"/>
    <w:lvl w:ilvl="0" w:tplc="0ECE6FA8">
      <w:start w:val="1"/>
      <w:numFmt w:val="decimal"/>
      <w:lvlText w:val="%1."/>
      <w:lvlJc w:val="left"/>
      <w:pPr>
        <w:ind w:left="360"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A203E44"/>
    <w:multiLevelType w:val="hybridMultilevel"/>
    <w:tmpl w:val="E35255F4"/>
    <w:lvl w:ilvl="0" w:tplc="F5382822">
      <w:start w:val="1"/>
      <w:numFmt w:val="decimal"/>
      <w:lvlText w:val="%1."/>
      <w:lvlJc w:val="left"/>
      <w:pPr>
        <w:tabs>
          <w:tab w:val="num" w:pos="720"/>
        </w:tabs>
        <w:ind w:left="720" w:hanging="360"/>
      </w:pPr>
      <w:rPr>
        <w:rFonts w:hint="default"/>
      </w:rPr>
    </w:lvl>
    <w:lvl w:ilvl="1" w:tplc="102EFB64">
      <w:numFmt w:val="none"/>
      <w:lvlText w:val=""/>
      <w:lvlJc w:val="left"/>
      <w:pPr>
        <w:tabs>
          <w:tab w:val="num" w:pos="360"/>
        </w:tabs>
      </w:pPr>
    </w:lvl>
    <w:lvl w:ilvl="2" w:tplc="C9CC0CBA">
      <w:numFmt w:val="none"/>
      <w:lvlText w:val=""/>
      <w:lvlJc w:val="left"/>
      <w:pPr>
        <w:tabs>
          <w:tab w:val="num" w:pos="360"/>
        </w:tabs>
      </w:pPr>
    </w:lvl>
    <w:lvl w:ilvl="3" w:tplc="B3DCAA8C">
      <w:numFmt w:val="none"/>
      <w:lvlText w:val=""/>
      <w:lvlJc w:val="left"/>
      <w:pPr>
        <w:tabs>
          <w:tab w:val="num" w:pos="360"/>
        </w:tabs>
      </w:pPr>
    </w:lvl>
    <w:lvl w:ilvl="4" w:tplc="2990E7F2">
      <w:numFmt w:val="none"/>
      <w:lvlText w:val=""/>
      <w:lvlJc w:val="left"/>
      <w:pPr>
        <w:tabs>
          <w:tab w:val="num" w:pos="360"/>
        </w:tabs>
      </w:pPr>
    </w:lvl>
    <w:lvl w:ilvl="5" w:tplc="D6EC9E6C">
      <w:numFmt w:val="none"/>
      <w:lvlText w:val=""/>
      <w:lvlJc w:val="left"/>
      <w:pPr>
        <w:tabs>
          <w:tab w:val="num" w:pos="360"/>
        </w:tabs>
      </w:pPr>
    </w:lvl>
    <w:lvl w:ilvl="6" w:tplc="0520EFF4">
      <w:numFmt w:val="none"/>
      <w:lvlText w:val=""/>
      <w:lvlJc w:val="left"/>
      <w:pPr>
        <w:tabs>
          <w:tab w:val="num" w:pos="360"/>
        </w:tabs>
      </w:pPr>
    </w:lvl>
    <w:lvl w:ilvl="7" w:tplc="FB022CAC">
      <w:numFmt w:val="none"/>
      <w:lvlText w:val=""/>
      <w:lvlJc w:val="left"/>
      <w:pPr>
        <w:tabs>
          <w:tab w:val="num" w:pos="360"/>
        </w:tabs>
      </w:pPr>
    </w:lvl>
    <w:lvl w:ilvl="8" w:tplc="229886B6">
      <w:numFmt w:val="none"/>
      <w:lvlText w:val=""/>
      <w:lvlJc w:val="left"/>
      <w:pPr>
        <w:tabs>
          <w:tab w:val="num" w:pos="360"/>
        </w:tabs>
      </w:pPr>
    </w:lvl>
  </w:abstractNum>
  <w:abstractNum w:abstractNumId="6" w15:restartNumberingAfterBreak="0">
    <w:nsid w:val="64EB5215"/>
    <w:multiLevelType w:val="hybridMultilevel"/>
    <w:tmpl w:val="E340C958"/>
    <w:lvl w:ilvl="0" w:tplc="CEE8137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FD1C8F"/>
    <w:multiLevelType w:val="hybridMultilevel"/>
    <w:tmpl w:val="C0A62A84"/>
    <w:lvl w:ilvl="0" w:tplc="97B2F6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759E0905"/>
    <w:multiLevelType w:val="multilevel"/>
    <w:tmpl w:val="6374F790"/>
    <w:lvl w:ilvl="0">
      <w:start w:val="1"/>
      <w:numFmt w:val="decimal"/>
      <w:lvlText w:val="%1."/>
      <w:lvlJc w:val="left"/>
      <w:pPr>
        <w:ind w:left="1350" w:hanging="645"/>
      </w:pPr>
      <w:rPr>
        <w:rFonts w:hint="default"/>
      </w:rPr>
    </w:lvl>
    <w:lvl w:ilvl="1">
      <w:start w:val="2"/>
      <w:numFmt w:val="decimal"/>
      <w:isLgl/>
      <w:lvlText w:val="%1.%2."/>
      <w:lvlJc w:val="left"/>
      <w:pPr>
        <w:ind w:left="2070" w:hanging="720"/>
      </w:pPr>
      <w:rPr>
        <w:rFonts w:hint="default"/>
      </w:rPr>
    </w:lvl>
    <w:lvl w:ilvl="2">
      <w:start w:val="1"/>
      <w:numFmt w:val="decimal"/>
      <w:isLgl/>
      <w:lvlText w:val="%1.%2.%3."/>
      <w:lvlJc w:val="left"/>
      <w:pPr>
        <w:ind w:left="2715" w:hanging="720"/>
      </w:pPr>
      <w:rPr>
        <w:rFonts w:hint="default"/>
      </w:rPr>
    </w:lvl>
    <w:lvl w:ilvl="3">
      <w:start w:val="1"/>
      <w:numFmt w:val="decimal"/>
      <w:isLgl/>
      <w:lvlText w:val="%1.%2.%3.%4."/>
      <w:lvlJc w:val="left"/>
      <w:pPr>
        <w:ind w:left="3720" w:hanging="1080"/>
      </w:pPr>
      <w:rPr>
        <w:rFonts w:hint="default"/>
      </w:rPr>
    </w:lvl>
    <w:lvl w:ilvl="4">
      <w:start w:val="1"/>
      <w:numFmt w:val="decimal"/>
      <w:isLgl/>
      <w:lvlText w:val="%1.%2.%3.%4.%5."/>
      <w:lvlJc w:val="left"/>
      <w:pPr>
        <w:ind w:left="4365" w:hanging="1080"/>
      </w:pPr>
      <w:rPr>
        <w:rFonts w:hint="default"/>
      </w:rPr>
    </w:lvl>
    <w:lvl w:ilvl="5">
      <w:start w:val="1"/>
      <w:numFmt w:val="decimal"/>
      <w:isLgl/>
      <w:lvlText w:val="%1.%2.%3.%4.%5.%6."/>
      <w:lvlJc w:val="left"/>
      <w:pPr>
        <w:ind w:left="5370" w:hanging="1440"/>
      </w:pPr>
      <w:rPr>
        <w:rFonts w:hint="default"/>
      </w:rPr>
    </w:lvl>
    <w:lvl w:ilvl="6">
      <w:start w:val="1"/>
      <w:numFmt w:val="decimal"/>
      <w:isLgl/>
      <w:lvlText w:val="%1.%2.%3.%4.%5.%6.%7."/>
      <w:lvlJc w:val="left"/>
      <w:pPr>
        <w:ind w:left="6375" w:hanging="1800"/>
      </w:pPr>
      <w:rPr>
        <w:rFonts w:hint="default"/>
      </w:rPr>
    </w:lvl>
    <w:lvl w:ilvl="7">
      <w:start w:val="1"/>
      <w:numFmt w:val="decimal"/>
      <w:isLgl/>
      <w:lvlText w:val="%1.%2.%3.%4.%5.%6.%7.%8."/>
      <w:lvlJc w:val="left"/>
      <w:pPr>
        <w:ind w:left="7020" w:hanging="1800"/>
      </w:pPr>
      <w:rPr>
        <w:rFonts w:hint="default"/>
      </w:rPr>
    </w:lvl>
    <w:lvl w:ilvl="8">
      <w:start w:val="1"/>
      <w:numFmt w:val="decimal"/>
      <w:isLgl/>
      <w:lvlText w:val="%1.%2.%3.%4.%5.%6.%7.%8.%9."/>
      <w:lvlJc w:val="left"/>
      <w:pPr>
        <w:ind w:left="8025" w:hanging="2160"/>
      </w:pPr>
      <w:rPr>
        <w:rFonts w:hint="default"/>
      </w:rPr>
    </w:lvl>
  </w:abstractNum>
  <w:num w:numId="1">
    <w:abstractNumId w:val="5"/>
  </w:num>
  <w:num w:numId="2">
    <w:abstractNumId w:val="2"/>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B3"/>
    <w:rsid w:val="0001008E"/>
    <w:rsid w:val="000927B2"/>
    <w:rsid w:val="000B1FCB"/>
    <w:rsid w:val="000C18D6"/>
    <w:rsid w:val="001A6287"/>
    <w:rsid w:val="002379E5"/>
    <w:rsid w:val="00280EC4"/>
    <w:rsid w:val="002851F8"/>
    <w:rsid w:val="00304B1C"/>
    <w:rsid w:val="003612AE"/>
    <w:rsid w:val="00493B25"/>
    <w:rsid w:val="00500201"/>
    <w:rsid w:val="0056293B"/>
    <w:rsid w:val="005F46AB"/>
    <w:rsid w:val="006111F7"/>
    <w:rsid w:val="0072004C"/>
    <w:rsid w:val="00744A7B"/>
    <w:rsid w:val="00787ABA"/>
    <w:rsid w:val="0080622D"/>
    <w:rsid w:val="0081240E"/>
    <w:rsid w:val="008D71B3"/>
    <w:rsid w:val="009122D7"/>
    <w:rsid w:val="00951E00"/>
    <w:rsid w:val="00986983"/>
    <w:rsid w:val="0099058A"/>
    <w:rsid w:val="009E365C"/>
    <w:rsid w:val="009E38F3"/>
    <w:rsid w:val="009F67AD"/>
    <w:rsid w:val="00A37B19"/>
    <w:rsid w:val="00AC7FA5"/>
    <w:rsid w:val="00B805EA"/>
    <w:rsid w:val="00BC0929"/>
    <w:rsid w:val="00BC413B"/>
    <w:rsid w:val="00BE18B3"/>
    <w:rsid w:val="00C70654"/>
    <w:rsid w:val="00C73128"/>
    <w:rsid w:val="00CA2E6A"/>
    <w:rsid w:val="00CF4B1E"/>
    <w:rsid w:val="00D51367"/>
    <w:rsid w:val="00DD6BD5"/>
    <w:rsid w:val="00DE15EF"/>
    <w:rsid w:val="00E66C81"/>
    <w:rsid w:val="00EA66ED"/>
    <w:rsid w:val="00F952B7"/>
    <w:rsid w:val="00FA6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B2A33"/>
  <w15:docId w15:val="{0EAE9EFB-C70D-4A7F-8DBC-9769A90A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1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87ABA"/>
    <w:rPr>
      <w:color w:val="0563C1" w:themeColor="hyperlink"/>
      <w:u w:val="single"/>
    </w:rPr>
  </w:style>
  <w:style w:type="paragraph" w:styleId="a4">
    <w:name w:val="Balloon Text"/>
    <w:basedOn w:val="a"/>
    <w:link w:val="a5"/>
    <w:uiPriority w:val="99"/>
    <w:semiHidden/>
    <w:unhideWhenUsed/>
    <w:rsid w:val="002379E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379E5"/>
    <w:rPr>
      <w:rFonts w:ascii="Segoe UI" w:hAnsi="Segoe UI" w:cs="Segoe UI"/>
      <w:sz w:val="18"/>
      <w:szCs w:val="18"/>
    </w:rPr>
  </w:style>
  <w:style w:type="paragraph" w:styleId="a6">
    <w:name w:val="List Paragraph"/>
    <w:basedOn w:val="a"/>
    <w:uiPriority w:val="34"/>
    <w:qFormat/>
    <w:rsid w:val="00500201"/>
    <w:pPr>
      <w:ind w:left="720"/>
      <w:contextualSpacing/>
    </w:pPr>
  </w:style>
  <w:style w:type="paragraph" w:styleId="a7">
    <w:name w:val="Body Text"/>
    <w:basedOn w:val="a"/>
    <w:link w:val="a8"/>
    <w:uiPriority w:val="99"/>
    <w:unhideWhenUsed/>
    <w:rsid w:val="000927B2"/>
    <w:pPr>
      <w:spacing w:after="120"/>
    </w:pPr>
  </w:style>
  <w:style w:type="character" w:customStyle="1" w:styleId="a8">
    <w:name w:val="Основной текст Знак"/>
    <w:basedOn w:val="a0"/>
    <w:link w:val="a7"/>
    <w:uiPriority w:val="99"/>
    <w:rsid w:val="000927B2"/>
  </w:style>
  <w:style w:type="paragraph" w:styleId="2">
    <w:name w:val="Body Text 2"/>
    <w:basedOn w:val="a"/>
    <w:link w:val="20"/>
    <w:uiPriority w:val="99"/>
    <w:semiHidden/>
    <w:unhideWhenUsed/>
    <w:rsid w:val="000B1FCB"/>
    <w:pPr>
      <w:spacing w:after="120" w:line="480" w:lineRule="auto"/>
    </w:pPr>
  </w:style>
  <w:style w:type="character" w:customStyle="1" w:styleId="20">
    <w:name w:val="Основной текст 2 Знак"/>
    <w:basedOn w:val="a0"/>
    <w:link w:val="2"/>
    <w:uiPriority w:val="99"/>
    <w:semiHidden/>
    <w:rsid w:val="000B1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branie@nevel.reg60.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Sobraniye</cp:lastModifiedBy>
  <cp:revision>13</cp:revision>
  <cp:lastPrinted>2025-04-29T08:24:00Z</cp:lastPrinted>
  <dcterms:created xsi:type="dcterms:W3CDTF">2025-04-22T11:51:00Z</dcterms:created>
  <dcterms:modified xsi:type="dcterms:W3CDTF">2025-04-29T08:29:00Z</dcterms:modified>
</cp:coreProperties>
</file>