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2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F9317D" w:rsidRDefault="00A74F9E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3640A4" w:rsidRPr="00F9317D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</w:t>
      </w:r>
      <w:r w:rsidR="008F28A9">
        <w:rPr>
          <w:sz w:val="28"/>
          <w:szCs w:val="28"/>
          <w:lang w:eastAsia="ru-RU"/>
        </w:rPr>
        <w:t>15</w:t>
      </w:r>
      <w:r>
        <w:rPr>
          <w:sz w:val="28"/>
          <w:szCs w:val="28"/>
          <w:lang w:eastAsia="ru-RU"/>
        </w:rPr>
        <w:t>.</w:t>
      </w:r>
      <w:r w:rsidR="008F28A9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.2020</w:t>
      </w:r>
      <w:r w:rsidR="008F7DC4" w:rsidRPr="00F9317D">
        <w:rPr>
          <w:sz w:val="28"/>
          <w:szCs w:val="28"/>
          <w:lang w:eastAsia="ru-RU"/>
        </w:rPr>
        <w:t xml:space="preserve"> </w:t>
      </w:r>
      <w:r w:rsidR="003640A4" w:rsidRPr="00F9317D">
        <w:rPr>
          <w:sz w:val="28"/>
          <w:szCs w:val="28"/>
          <w:lang w:eastAsia="ru-RU"/>
        </w:rPr>
        <w:t xml:space="preserve">№ </w:t>
      </w:r>
      <w:r w:rsidR="008F28A9">
        <w:rPr>
          <w:sz w:val="28"/>
          <w:szCs w:val="28"/>
          <w:lang w:eastAsia="ru-RU"/>
        </w:rPr>
        <w:t>586</w:t>
      </w:r>
      <w:r w:rsidR="008F7DC4" w:rsidRPr="00F9317D">
        <w:rPr>
          <w:sz w:val="28"/>
          <w:szCs w:val="28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BD3A39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BD3A39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</w:t>
            </w:r>
            <w:r w:rsidR="00CC49F9" w:rsidRPr="00CC49F9"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="00CC49F9" w:rsidRPr="00CC49F9">
              <w:t>ств гр</w:t>
            </w:r>
            <w:proofErr w:type="gramEnd"/>
            <w:r w:rsidR="00CC49F9" w:rsidRPr="00CC49F9">
              <w:t>упповых резервуарных установок и газопровода</w:t>
            </w:r>
          </w:p>
        </w:tc>
        <w:tc>
          <w:tcPr>
            <w:tcW w:w="1418" w:type="dxa"/>
          </w:tcPr>
          <w:p w:rsidR="00CB5C27" w:rsidRPr="00235026" w:rsidRDefault="00CC49F9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C49F9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BD3A39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 xml:space="preserve">развития </w:t>
            </w:r>
            <w:r>
              <w:lastRenderedPageBreak/>
              <w:t>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A87F8F">
            <w:pPr>
              <w:jc w:val="both"/>
            </w:pPr>
            <w:r>
              <w:t xml:space="preserve">Субсидия на </w:t>
            </w:r>
            <w:r w:rsidR="00A87F8F">
              <w:t>формирование</w:t>
            </w:r>
            <w:r>
              <w:t xml:space="preserve"> современной городской среды</w:t>
            </w:r>
          </w:p>
        </w:tc>
        <w:tc>
          <w:tcPr>
            <w:tcW w:w="1418" w:type="dxa"/>
          </w:tcPr>
          <w:p w:rsidR="00FC393C" w:rsidRDefault="004F3188" w:rsidP="00BD3A39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4F3188">
            <w:pPr>
              <w:jc w:val="both"/>
            </w:pPr>
            <w:r>
              <w:t>Расходы на разработку проектно-  сметной, техни</w:t>
            </w:r>
            <w:r w:rsidR="004F3188">
              <w:t>ческой документации на строительство, реконструкцию, капитальный ремонт объектов коммунальной инфраструктуры</w:t>
            </w:r>
            <w:r>
              <w:t xml:space="preserve">  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2B5AF1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FC393C" w:rsidRDefault="00CC5A99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E164F">
              <w:rPr>
                <w:lang w:eastAsia="ru-RU"/>
              </w:rPr>
              <w:t xml:space="preserve"> </w:t>
            </w:r>
            <w:r w:rsidR="001C1F0B"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8F7DC4" w:rsidRPr="00C7394F" w:rsidTr="00101412">
        <w:trPr>
          <w:trHeight w:val="904"/>
        </w:trPr>
        <w:tc>
          <w:tcPr>
            <w:tcW w:w="984" w:type="dxa"/>
          </w:tcPr>
          <w:p w:rsidR="008F7DC4" w:rsidRDefault="008F7DC4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4261" w:type="dxa"/>
          </w:tcPr>
          <w:p w:rsidR="008F7DC4" w:rsidRDefault="008F7DC4" w:rsidP="004F3188">
            <w:pPr>
              <w:jc w:val="both"/>
            </w:pPr>
            <w:r>
              <w:t xml:space="preserve">Мероприятие </w:t>
            </w:r>
            <w:r w:rsidR="00515BE0" w:rsidRPr="00515BE0">
              <w:t>Субсидия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418" w:type="dxa"/>
          </w:tcPr>
          <w:p w:rsidR="008F7DC4" w:rsidRDefault="008F7DC4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  <w:p w:rsidR="008F7DC4" w:rsidRPr="008F7DC4" w:rsidRDefault="008F7DC4" w:rsidP="008F7DC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CB5C27" w:rsidRDefault="00CB5C27" w:rsidP="00BD3A39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CB5C27" w:rsidRDefault="00CB5C27" w:rsidP="00BD3A39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Осуществление расходов на оплату взносов на капитальный ремонт </w:t>
            </w:r>
            <w:r w:rsidRPr="00FB756F">
              <w:lastRenderedPageBreak/>
              <w:t>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 xml:space="preserve">муниципального </w:t>
            </w:r>
            <w:r w:rsidRPr="00FB756F">
              <w:lastRenderedPageBreak/>
              <w:t>жилищного фонда сельских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2422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1175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="00F11EF2"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139"/>
        </w:trPr>
        <w:tc>
          <w:tcPr>
            <w:tcW w:w="984" w:type="dxa"/>
          </w:tcPr>
          <w:p w:rsidR="00CB5C27" w:rsidRPr="00B335EC" w:rsidRDefault="00CB5C27" w:rsidP="00BD3A39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CB5C27" w:rsidRPr="00B335EC" w:rsidRDefault="00CB5C27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 w:rsidR="00C5628F"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CB5C27" w:rsidRPr="00B335EC" w:rsidRDefault="00CB5C27" w:rsidP="00BD3A39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6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2.1.8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AA3DFC" w:rsidRPr="00C7394F" w:rsidTr="00101412">
        <w:trPr>
          <w:trHeight w:val="1416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AA3DFC" w:rsidRPr="00C7394F" w:rsidTr="00101412">
        <w:trPr>
          <w:trHeight w:val="1123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CB5C27" w:rsidRPr="008D795A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12F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24AE0-BBC0-4372-ADD3-E4428179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7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26</cp:revision>
  <cp:lastPrinted>2020-10-15T11:27:00Z</cp:lastPrinted>
  <dcterms:created xsi:type="dcterms:W3CDTF">2019-11-05T08:16:00Z</dcterms:created>
  <dcterms:modified xsi:type="dcterms:W3CDTF">2020-10-15T11:33:00Z</dcterms:modified>
</cp:coreProperties>
</file>