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948" w:rsidRPr="00664948" w:rsidRDefault="00664948" w:rsidP="00664948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64948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2EF3C586" wp14:editId="58ED7374">
            <wp:extent cx="688975" cy="8477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4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64948" w:rsidRPr="00664948" w:rsidRDefault="00664948" w:rsidP="00664948">
      <w:pPr>
        <w:rPr>
          <w:rFonts w:ascii="Times New Roman" w:eastAsia="Calibri" w:hAnsi="Times New Roman" w:cs="Times New Roman"/>
          <w:sz w:val="28"/>
          <w:szCs w:val="28"/>
        </w:rPr>
      </w:pPr>
    </w:p>
    <w:p w:rsidR="00664948" w:rsidRPr="00664948" w:rsidRDefault="00664948" w:rsidP="00664948">
      <w:pPr>
        <w:suppressAutoHyphens/>
        <w:jc w:val="center"/>
        <w:rPr>
          <w:rFonts w:ascii="Times New Roman" w:eastAsia="Droid Sans Fallback" w:hAnsi="Times New Roman" w:cs="Times New Roman"/>
          <w:b/>
          <w:kern w:val="2"/>
          <w:sz w:val="32"/>
          <w:szCs w:val="32"/>
          <w:lang w:eastAsia="hi-IN" w:bidi="hi-IN"/>
        </w:rPr>
      </w:pPr>
      <w:r w:rsidRPr="00664948">
        <w:rPr>
          <w:rFonts w:ascii="Times New Roman" w:eastAsia="Calibri" w:hAnsi="Times New Roman" w:cs="Times New Roman"/>
          <w:sz w:val="28"/>
          <w:szCs w:val="28"/>
        </w:rPr>
        <w:tab/>
      </w:r>
      <w:r w:rsidRPr="00664948">
        <w:rPr>
          <w:rFonts w:ascii="Times New Roman" w:eastAsia="Droid Sans Fallback" w:hAnsi="Times New Roman" w:cs="Times New Roman"/>
          <w:b/>
          <w:kern w:val="2"/>
          <w:sz w:val="32"/>
          <w:szCs w:val="32"/>
          <w:lang w:eastAsia="hi-IN" w:bidi="hi-IN"/>
        </w:rPr>
        <w:t xml:space="preserve">АДМИНИСТРАЦИЯ  НЕВЕЛЬСКОГО  РАЙОНА </w:t>
      </w:r>
    </w:p>
    <w:p w:rsidR="00664948" w:rsidRPr="00664948" w:rsidRDefault="00664948" w:rsidP="00664948">
      <w:pPr>
        <w:suppressAutoHyphens/>
        <w:ind w:firstLine="0"/>
        <w:jc w:val="center"/>
        <w:rPr>
          <w:rFonts w:ascii="Times New Roman" w:eastAsia="Droid Sans Fallback" w:hAnsi="Times New Roman" w:cs="Times New Roman"/>
          <w:kern w:val="2"/>
          <w:sz w:val="32"/>
          <w:szCs w:val="32"/>
          <w:lang w:eastAsia="hi-IN" w:bidi="hi-IN"/>
        </w:rPr>
      </w:pPr>
    </w:p>
    <w:p w:rsidR="00664948" w:rsidRPr="00664948" w:rsidRDefault="00664948" w:rsidP="00664948">
      <w:pPr>
        <w:keepNext/>
        <w:widowControl w:val="0"/>
        <w:tabs>
          <w:tab w:val="left" w:pos="708"/>
        </w:tabs>
        <w:suppressAutoHyphens/>
        <w:ind w:firstLine="0"/>
        <w:jc w:val="center"/>
        <w:outlineLvl w:val="1"/>
        <w:rPr>
          <w:rFonts w:ascii="Times New Roman" w:eastAsia="Arial Unicode MS" w:hAnsi="Times New Roman" w:cs="Times New Roman"/>
          <w:b/>
          <w:color w:val="000000"/>
          <w:kern w:val="2"/>
          <w:sz w:val="36"/>
          <w:szCs w:val="36"/>
          <w:lang w:bidi="en-US"/>
        </w:rPr>
      </w:pPr>
      <w:r w:rsidRPr="00664948">
        <w:rPr>
          <w:rFonts w:ascii="Times New Roman" w:eastAsia="Arial Unicode MS" w:hAnsi="Times New Roman" w:cs="Times New Roman"/>
          <w:b/>
          <w:color w:val="000000"/>
          <w:kern w:val="2"/>
          <w:sz w:val="36"/>
          <w:szCs w:val="36"/>
          <w:lang w:bidi="en-US"/>
        </w:rPr>
        <w:t xml:space="preserve">П о с </w:t>
      </w:r>
      <w:proofErr w:type="gramStart"/>
      <w:r w:rsidRPr="00664948">
        <w:rPr>
          <w:rFonts w:ascii="Times New Roman" w:eastAsia="Arial Unicode MS" w:hAnsi="Times New Roman" w:cs="Times New Roman"/>
          <w:b/>
          <w:color w:val="000000"/>
          <w:kern w:val="2"/>
          <w:sz w:val="36"/>
          <w:szCs w:val="36"/>
          <w:lang w:bidi="en-US"/>
        </w:rPr>
        <w:t>т</w:t>
      </w:r>
      <w:proofErr w:type="gramEnd"/>
      <w:r w:rsidRPr="00664948">
        <w:rPr>
          <w:rFonts w:ascii="Times New Roman" w:eastAsia="Arial Unicode MS" w:hAnsi="Times New Roman" w:cs="Times New Roman"/>
          <w:b/>
          <w:color w:val="000000"/>
          <w:kern w:val="2"/>
          <w:sz w:val="36"/>
          <w:szCs w:val="36"/>
          <w:lang w:bidi="en-US"/>
        </w:rPr>
        <w:t xml:space="preserve"> а н о в л е н и е</w:t>
      </w:r>
    </w:p>
    <w:p w:rsidR="00664948" w:rsidRPr="00664948" w:rsidRDefault="00664948" w:rsidP="00664948">
      <w:pPr>
        <w:suppressAutoHyphens/>
        <w:ind w:firstLine="0"/>
        <w:jc w:val="center"/>
        <w:rPr>
          <w:rFonts w:ascii="Times New Roman" w:eastAsia="Droid Sans Fallback" w:hAnsi="Times New Roman" w:cs="Times New Roman"/>
          <w:b/>
          <w:bCs/>
          <w:kern w:val="2"/>
          <w:sz w:val="36"/>
          <w:szCs w:val="24"/>
          <w:lang w:eastAsia="hi-IN" w:bidi="hi-IN"/>
        </w:rPr>
      </w:pPr>
    </w:p>
    <w:p w:rsidR="00664948" w:rsidRPr="00664948" w:rsidRDefault="00664948" w:rsidP="00664948">
      <w:pPr>
        <w:suppressAutoHyphens/>
        <w:ind w:firstLine="0"/>
        <w:rPr>
          <w:rFonts w:ascii="Times New Roman" w:eastAsia="Droid Sans Fallback" w:hAnsi="Times New Roman" w:cs="Times New Roman"/>
          <w:kern w:val="2"/>
          <w:sz w:val="20"/>
          <w:szCs w:val="24"/>
          <w:lang w:eastAsia="hi-IN" w:bidi="hi-IN"/>
        </w:rPr>
      </w:pPr>
    </w:p>
    <w:p w:rsidR="00664948" w:rsidRPr="00664948" w:rsidRDefault="00664948" w:rsidP="00664948">
      <w:pPr>
        <w:suppressAutoHyphens/>
        <w:ind w:firstLine="0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  <w:r w:rsidRPr="00664948"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  <w:t>от ____________№_______</w:t>
      </w:r>
    </w:p>
    <w:p w:rsidR="00664948" w:rsidRPr="00664948" w:rsidRDefault="00664948" w:rsidP="00664948">
      <w:pPr>
        <w:suppressAutoHyphens/>
        <w:ind w:firstLine="0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  <w:r w:rsidRPr="00664948"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  <w:t xml:space="preserve">       г. Невель</w:t>
      </w:r>
    </w:p>
    <w:p w:rsidR="00664948" w:rsidRDefault="00664948">
      <w:pPr>
        <w:pStyle w:val="ConsPlusTitlePage"/>
      </w:pPr>
    </w:p>
    <w:p w:rsidR="00664948" w:rsidRDefault="00664948">
      <w:pPr>
        <w:pStyle w:val="ConsPlusTitlePage"/>
      </w:pPr>
    </w:p>
    <w:p w:rsidR="00664948" w:rsidRDefault="00664948">
      <w:pPr>
        <w:pStyle w:val="ConsPlusTitlePage"/>
      </w:pPr>
    </w:p>
    <w:p w:rsidR="00EA512A" w:rsidRDefault="00664948" w:rsidP="0066494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</w:t>
      </w:r>
      <w:r w:rsidR="00A01635">
        <w:rPr>
          <w:rFonts w:ascii="Times New Roman" w:hAnsi="Times New Roman" w:cs="Times New Roman"/>
          <w:b w:val="0"/>
          <w:sz w:val="28"/>
          <w:szCs w:val="28"/>
        </w:rPr>
        <w:t>б утверждении</w:t>
      </w:r>
      <w:r w:rsidRPr="00664948">
        <w:rPr>
          <w:rFonts w:ascii="Times New Roman" w:hAnsi="Times New Roman" w:cs="Times New Roman"/>
          <w:b w:val="0"/>
          <w:sz w:val="28"/>
          <w:szCs w:val="28"/>
        </w:rPr>
        <w:t xml:space="preserve"> тре</w:t>
      </w:r>
      <w:r w:rsidR="00A01635">
        <w:rPr>
          <w:rFonts w:ascii="Times New Roman" w:hAnsi="Times New Roman" w:cs="Times New Roman"/>
          <w:b w:val="0"/>
          <w:sz w:val="28"/>
          <w:szCs w:val="28"/>
        </w:rPr>
        <w:t>бований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64948">
        <w:rPr>
          <w:rFonts w:ascii="Times New Roman" w:hAnsi="Times New Roman" w:cs="Times New Roman"/>
          <w:b w:val="0"/>
          <w:sz w:val="28"/>
          <w:szCs w:val="28"/>
        </w:rPr>
        <w:t>к договорам</w:t>
      </w:r>
      <w:r w:rsidR="00A01635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417919" w:rsidRPr="00664948" w:rsidRDefault="00A01635" w:rsidP="00664948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заключаемым в связи с предоставлением</w:t>
      </w:r>
      <w:r w:rsidR="00664948" w:rsidRPr="00664948">
        <w:rPr>
          <w:rFonts w:ascii="Times New Roman" w:hAnsi="Times New Roman" w:cs="Times New Roman"/>
          <w:b w:val="0"/>
          <w:sz w:val="28"/>
          <w:szCs w:val="28"/>
        </w:rPr>
        <w:t xml:space="preserve"> бюджетных инвестиций</w:t>
      </w:r>
    </w:p>
    <w:p w:rsidR="00417919" w:rsidRPr="00664948" w:rsidRDefault="00664948" w:rsidP="00FB751D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664948">
        <w:rPr>
          <w:rFonts w:ascii="Times New Roman" w:hAnsi="Times New Roman" w:cs="Times New Roman"/>
          <w:b w:val="0"/>
          <w:sz w:val="28"/>
          <w:szCs w:val="28"/>
        </w:rPr>
        <w:t xml:space="preserve">юридическим лицам, не являющимся </w:t>
      </w:r>
      <w:r w:rsidR="00FB751D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государственными и </w:t>
      </w:r>
      <w:r w:rsidRPr="00664948">
        <w:rPr>
          <w:rFonts w:ascii="Times New Roman" w:hAnsi="Times New Roman" w:cs="Times New Roman"/>
          <w:b w:val="0"/>
          <w:sz w:val="28"/>
          <w:szCs w:val="28"/>
        </w:rPr>
        <w:t xml:space="preserve">муниципальными учреждениями и </w:t>
      </w:r>
      <w:r w:rsidR="00FB751D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государственными и </w:t>
      </w:r>
      <w:r w:rsidRPr="00664948">
        <w:rPr>
          <w:rFonts w:ascii="Times New Roman" w:hAnsi="Times New Roman" w:cs="Times New Roman"/>
          <w:b w:val="0"/>
          <w:sz w:val="28"/>
          <w:szCs w:val="28"/>
        </w:rPr>
        <w:t>муниципальными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664948">
        <w:rPr>
          <w:rFonts w:ascii="Times New Roman" w:hAnsi="Times New Roman" w:cs="Times New Roman"/>
          <w:b w:val="0"/>
          <w:sz w:val="28"/>
          <w:szCs w:val="28"/>
        </w:rPr>
        <w:t>унитарными предприятиями, за счет</w:t>
      </w:r>
      <w:r w:rsidR="00FB751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>средств бюджета  МО «Н</w:t>
      </w:r>
      <w:r w:rsidRPr="00664948">
        <w:rPr>
          <w:rFonts w:ascii="Times New Roman" w:hAnsi="Times New Roman" w:cs="Times New Roman"/>
          <w:b w:val="0"/>
          <w:sz w:val="28"/>
          <w:szCs w:val="28"/>
        </w:rPr>
        <w:t xml:space="preserve">евельский район» </w:t>
      </w:r>
    </w:p>
    <w:p w:rsidR="00417919" w:rsidRDefault="00417919">
      <w:pPr>
        <w:spacing w:after="1"/>
      </w:pPr>
    </w:p>
    <w:p w:rsidR="00417919" w:rsidRDefault="00417919">
      <w:pPr>
        <w:pStyle w:val="ConsPlusNormal"/>
        <w:jc w:val="center"/>
      </w:pPr>
    </w:p>
    <w:p w:rsidR="00417919" w:rsidRPr="00664948" w:rsidRDefault="00417919">
      <w:pPr>
        <w:pStyle w:val="ConsPlusNormal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664948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 w:rsidR="005D613B">
        <w:rPr>
          <w:rFonts w:ascii="Times New Roman" w:hAnsi="Times New Roman" w:cs="Times New Roman"/>
          <w:sz w:val="28"/>
          <w:szCs w:val="28"/>
        </w:rPr>
        <w:t>пунктом 3 статьи 80 Бюджетного</w:t>
      </w:r>
      <w:r w:rsidRPr="00664948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Pr="00664948">
          <w:rPr>
            <w:rFonts w:ascii="Times New Roman" w:hAnsi="Times New Roman" w:cs="Times New Roman"/>
            <w:color w:val="000000" w:themeColor="text1"/>
            <w:sz w:val="28"/>
            <w:szCs w:val="28"/>
          </w:rPr>
          <w:t>кодекс</w:t>
        </w:r>
        <w:r w:rsidR="005D613B">
          <w:rPr>
            <w:rFonts w:ascii="Times New Roman" w:hAnsi="Times New Roman" w:cs="Times New Roman"/>
            <w:color w:val="000000" w:themeColor="text1"/>
            <w:sz w:val="28"/>
            <w:szCs w:val="28"/>
          </w:rPr>
          <w:t>а</w:t>
        </w:r>
      </w:hyperlink>
      <w:r w:rsidRPr="006649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Росс</w:t>
      </w:r>
      <w:r w:rsidR="00FB751D">
        <w:rPr>
          <w:rFonts w:ascii="Times New Roman" w:hAnsi="Times New Roman" w:cs="Times New Roman"/>
          <w:color w:val="000000" w:themeColor="text1"/>
          <w:sz w:val="28"/>
          <w:szCs w:val="28"/>
        </w:rPr>
        <w:t>ийской Федерации, Уставом МО «Невельский район»</w:t>
      </w:r>
      <w:r w:rsidRPr="00664948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664948" w:rsidRDefault="00664948" w:rsidP="006649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649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</w:t>
      </w:r>
      <w:r w:rsidR="00417919" w:rsidRPr="00664948">
        <w:rPr>
          <w:rFonts w:ascii="Times New Roman" w:hAnsi="Times New Roman" w:cs="Times New Roman"/>
          <w:color w:val="000000" w:themeColor="text1"/>
          <w:sz w:val="28"/>
          <w:szCs w:val="28"/>
        </w:rPr>
        <w:t>Утвердить при</w:t>
      </w:r>
      <w:r w:rsidRPr="0066494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лагаемые </w:t>
      </w:r>
      <w:hyperlink w:anchor="P45" w:history="1">
        <w:r w:rsidR="00417919" w:rsidRPr="00664948">
          <w:rPr>
            <w:rFonts w:ascii="Times New Roman" w:hAnsi="Times New Roman" w:cs="Times New Roman"/>
            <w:color w:val="000000" w:themeColor="text1"/>
            <w:sz w:val="28"/>
            <w:szCs w:val="28"/>
          </w:rPr>
          <w:t>требования</w:t>
        </w:r>
      </w:hyperlink>
      <w:r w:rsidR="00417919" w:rsidRPr="00664948">
        <w:rPr>
          <w:rFonts w:ascii="Times New Roman" w:hAnsi="Times New Roman" w:cs="Times New Roman"/>
          <w:sz w:val="28"/>
          <w:szCs w:val="28"/>
        </w:rPr>
        <w:t xml:space="preserve"> к договорам</w:t>
      </w:r>
      <w:r w:rsidR="00EA512A">
        <w:rPr>
          <w:rFonts w:ascii="Times New Roman" w:hAnsi="Times New Roman" w:cs="Times New Roman"/>
          <w:sz w:val="28"/>
          <w:szCs w:val="28"/>
        </w:rPr>
        <w:t>,</w:t>
      </w:r>
      <w:r w:rsidR="00EA512A" w:rsidRPr="00EA512A">
        <w:t xml:space="preserve"> </w:t>
      </w:r>
      <w:r w:rsidR="00EA512A" w:rsidRPr="00EA512A">
        <w:rPr>
          <w:rFonts w:ascii="Times New Roman" w:hAnsi="Times New Roman" w:cs="Times New Roman"/>
          <w:sz w:val="28"/>
          <w:szCs w:val="28"/>
        </w:rPr>
        <w:t>заключаемым в связи с предоставлением</w:t>
      </w:r>
      <w:r w:rsidR="00417919" w:rsidRPr="00664948">
        <w:rPr>
          <w:rFonts w:ascii="Times New Roman" w:hAnsi="Times New Roman" w:cs="Times New Roman"/>
          <w:sz w:val="28"/>
          <w:szCs w:val="28"/>
        </w:rPr>
        <w:t xml:space="preserve"> бюджетных инвестиций </w:t>
      </w:r>
      <w:r w:rsidRPr="00664948">
        <w:rPr>
          <w:rFonts w:ascii="Times New Roman" w:hAnsi="Times New Roman" w:cs="Times New Roman"/>
          <w:sz w:val="28"/>
          <w:szCs w:val="28"/>
        </w:rPr>
        <w:t xml:space="preserve">юридическим лицам, не являющимся </w:t>
      </w:r>
      <w:r w:rsidR="00083E0E">
        <w:rPr>
          <w:rFonts w:ascii="Times New Roman" w:hAnsi="Times New Roman" w:cs="Times New Roman"/>
          <w:sz w:val="28"/>
          <w:szCs w:val="28"/>
        </w:rPr>
        <w:t xml:space="preserve">государственными и </w:t>
      </w:r>
      <w:r w:rsidRPr="00664948">
        <w:rPr>
          <w:rFonts w:ascii="Times New Roman" w:hAnsi="Times New Roman" w:cs="Times New Roman"/>
          <w:sz w:val="28"/>
          <w:szCs w:val="28"/>
        </w:rPr>
        <w:t xml:space="preserve">муниципальными учреждениями и </w:t>
      </w:r>
      <w:r w:rsidR="00083E0E">
        <w:rPr>
          <w:rFonts w:ascii="Times New Roman" w:hAnsi="Times New Roman" w:cs="Times New Roman"/>
          <w:sz w:val="28"/>
          <w:szCs w:val="28"/>
        </w:rPr>
        <w:t xml:space="preserve">государственными и </w:t>
      </w:r>
      <w:r w:rsidRPr="00664948">
        <w:rPr>
          <w:rFonts w:ascii="Times New Roman" w:hAnsi="Times New Roman" w:cs="Times New Roman"/>
          <w:sz w:val="28"/>
          <w:szCs w:val="28"/>
        </w:rPr>
        <w:t>муниципальными унитарными предприя</w:t>
      </w:r>
      <w:r w:rsidR="00EA512A">
        <w:rPr>
          <w:rFonts w:ascii="Times New Roman" w:hAnsi="Times New Roman" w:cs="Times New Roman"/>
          <w:sz w:val="28"/>
          <w:szCs w:val="28"/>
        </w:rPr>
        <w:t xml:space="preserve">тиями, за счет средств бюджета </w:t>
      </w:r>
      <w:r w:rsidRPr="00664948">
        <w:rPr>
          <w:rFonts w:ascii="Times New Roman" w:hAnsi="Times New Roman" w:cs="Times New Roman"/>
          <w:sz w:val="28"/>
          <w:szCs w:val="28"/>
        </w:rPr>
        <w:t>МО «Невельский район»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649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9586D" w:rsidRPr="0049586D" w:rsidRDefault="0049586D" w:rsidP="006649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49586D">
        <w:rPr>
          <w:rFonts w:ascii="Times New Roman" w:hAnsi="Times New Roman" w:cs="Times New Roman"/>
          <w:sz w:val="28"/>
          <w:szCs w:val="28"/>
        </w:rPr>
        <w:t>. Постановление вступает в силу после опубликования и подлежит размещению на официальном сайте Невельского района в информационно-телекоммуникационной сети Интернет.</w:t>
      </w:r>
    </w:p>
    <w:p w:rsidR="00664948" w:rsidRDefault="0049586D" w:rsidP="006649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664948" w:rsidRPr="00664948">
        <w:rPr>
          <w:rFonts w:ascii="Times New Roman" w:hAnsi="Times New Roman" w:cs="Times New Roman"/>
          <w:sz w:val="28"/>
          <w:szCs w:val="28"/>
        </w:rPr>
        <w:t>. Контроль за исполнением настоящего постановления возложить на заместителя Главы администрации района по экономике Е.Г. Сафронову.</w:t>
      </w:r>
    </w:p>
    <w:p w:rsidR="001302A9" w:rsidRPr="00664948" w:rsidRDefault="001302A9" w:rsidP="00664948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Глава Невельского района                                                         О.Е. Майоров</w:t>
      </w:r>
    </w:p>
    <w:p w:rsidR="00417919" w:rsidRPr="00664948" w:rsidRDefault="009307E6" w:rsidP="009307E6">
      <w:pPr>
        <w:pStyle w:val="ConsPlusNormal"/>
        <w:tabs>
          <w:tab w:val="left" w:pos="1636"/>
        </w:tabs>
        <w:jc w:val="both"/>
        <w:rPr>
          <w:rFonts w:ascii="Times New Roman" w:hAnsi="Times New Roman" w:cs="Times New Roman"/>
          <w:sz w:val="28"/>
          <w:szCs w:val="28"/>
        </w:rPr>
      </w:pPr>
      <w:bookmarkStart w:id="0" w:name="P22"/>
      <w:bookmarkStart w:id="1" w:name="P26"/>
      <w:bookmarkEnd w:id="0"/>
      <w:bookmarkEnd w:id="1"/>
      <w:r>
        <w:rPr>
          <w:rFonts w:ascii="Times New Roman" w:hAnsi="Times New Roman" w:cs="Times New Roman"/>
          <w:sz w:val="28"/>
          <w:szCs w:val="28"/>
        </w:rPr>
        <w:tab/>
      </w:r>
    </w:p>
    <w:p w:rsidR="00083E0E" w:rsidRDefault="00083E0E" w:rsidP="0049586D">
      <w:pPr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586D" w:rsidRPr="0049586D" w:rsidRDefault="0049586D" w:rsidP="0049586D">
      <w:pPr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9586D">
        <w:rPr>
          <w:rFonts w:ascii="Times New Roman" w:eastAsia="Times New Roman" w:hAnsi="Times New Roman" w:cs="Times New Roman"/>
          <w:sz w:val="20"/>
          <w:szCs w:val="20"/>
          <w:lang w:eastAsia="ru-RU"/>
        </w:rPr>
        <w:t>Исполнит. Сафронова Е. Г.</w:t>
      </w:r>
    </w:p>
    <w:p w:rsidR="0049586D" w:rsidRPr="0049586D" w:rsidRDefault="0049586D" w:rsidP="0049586D">
      <w:pPr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9586D">
        <w:rPr>
          <w:rFonts w:ascii="Times New Roman" w:eastAsia="Times New Roman" w:hAnsi="Times New Roman" w:cs="Times New Roman"/>
          <w:sz w:val="20"/>
          <w:szCs w:val="20"/>
          <w:lang w:eastAsia="ru-RU"/>
        </w:rPr>
        <w:t>Зам. Главы администрации района по экономике</w:t>
      </w:r>
    </w:p>
    <w:p w:rsidR="0049586D" w:rsidRPr="0049586D" w:rsidRDefault="0049586D" w:rsidP="0049586D">
      <w:pPr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9586D">
        <w:rPr>
          <w:rFonts w:ascii="Times New Roman" w:eastAsia="Times New Roman" w:hAnsi="Times New Roman" w:cs="Times New Roman"/>
          <w:sz w:val="20"/>
          <w:szCs w:val="20"/>
          <w:lang w:eastAsia="ru-RU"/>
        </w:rPr>
        <w:t>Администрации Невельского района</w:t>
      </w:r>
    </w:p>
    <w:p w:rsidR="0049586D" w:rsidRPr="0049586D" w:rsidRDefault="0049586D" w:rsidP="0049586D">
      <w:pPr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9586D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тел.: 2-17-73</w:t>
      </w:r>
    </w:p>
    <w:p w:rsidR="0049586D" w:rsidRPr="0049586D" w:rsidRDefault="0049586D" w:rsidP="0049586D">
      <w:pPr>
        <w:ind w:left="360" w:hanging="36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49586D" w:rsidRPr="0049586D" w:rsidRDefault="0049586D" w:rsidP="0049586D">
      <w:pPr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9586D">
        <w:rPr>
          <w:rFonts w:ascii="Times New Roman" w:eastAsia="Times New Roman" w:hAnsi="Times New Roman" w:cs="Times New Roman"/>
          <w:sz w:val="20"/>
          <w:szCs w:val="20"/>
          <w:lang w:eastAsia="ru-RU"/>
        </w:rPr>
        <w:t>Согласовано:</w:t>
      </w:r>
    </w:p>
    <w:p w:rsidR="0049586D" w:rsidRPr="0049586D" w:rsidRDefault="0049586D" w:rsidP="0049586D">
      <w:pPr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9586D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юридический отдел </w:t>
      </w:r>
    </w:p>
    <w:p w:rsidR="0049586D" w:rsidRPr="0049586D" w:rsidRDefault="0049586D" w:rsidP="0049586D">
      <w:pPr>
        <w:ind w:firstLine="0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49586D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тел.: 2-19-52</w:t>
      </w:r>
    </w:p>
    <w:p w:rsidR="00664948" w:rsidRDefault="00417919" w:rsidP="0066494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64948">
        <w:rPr>
          <w:rFonts w:ascii="Times New Roman" w:hAnsi="Times New Roman" w:cs="Times New Roman"/>
          <w:sz w:val="28"/>
          <w:szCs w:val="28"/>
        </w:rPr>
        <w:lastRenderedPageBreak/>
        <w:t>Утверждены</w:t>
      </w:r>
      <w:r w:rsidR="00664948">
        <w:rPr>
          <w:rFonts w:ascii="Times New Roman" w:hAnsi="Times New Roman" w:cs="Times New Roman"/>
          <w:sz w:val="28"/>
          <w:szCs w:val="28"/>
        </w:rPr>
        <w:t xml:space="preserve"> </w:t>
      </w:r>
      <w:r w:rsidRPr="00664948">
        <w:rPr>
          <w:rFonts w:ascii="Times New Roman" w:hAnsi="Times New Roman" w:cs="Times New Roman"/>
          <w:sz w:val="28"/>
          <w:szCs w:val="28"/>
        </w:rPr>
        <w:t xml:space="preserve">постановлением </w:t>
      </w:r>
    </w:p>
    <w:p w:rsidR="00664948" w:rsidRDefault="00664948" w:rsidP="0066494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64948">
        <w:rPr>
          <w:rFonts w:ascii="Times New Roman" w:hAnsi="Times New Roman" w:cs="Times New Roman"/>
          <w:sz w:val="28"/>
          <w:szCs w:val="28"/>
        </w:rPr>
        <w:t>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948">
        <w:rPr>
          <w:rFonts w:ascii="Times New Roman" w:hAnsi="Times New Roman" w:cs="Times New Roman"/>
          <w:sz w:val="28"/>
          <w:szCs w:val="28"/>
        </w:rPr>
        <w:t xml:space="preserve">Невельского </w:t>
      </w:r>
    </w:p>
    <w:p w:rsidR="00664948" w:rsidRPr="00664948" w:rsidRDefault="00664948" w:rsidP="00664948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664948">
        <w:rPr>
          <w:rFonts w:ascii="Times New Roman" w:hAnsi="Times New Roman" w:cs="Times New Roman"/>
          <w:sz w:val="28"/>
          <w:szCs w:val="28"/>
        </w:rPr>
        <w:t>района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948">
        <w:rPr>
          <w:rFonts w:ascii="Times New Roman" w:hAnsi="Times New Roman" w:cs="Times New Roman"/>
          <w:sz w:val="28"/>
          <w:szCs w:val="28"/>
        </w:rPr>
        <w:t>_______№_____</w:t>
      </w:r>
    </w:p>
    <w:p w:rsidR="00664948" w:rsidRPr="0049586D" w:rsidRDefault="00664948">
      <w:pPr>
        <w:pStyle w:val="ConsPlusNormal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A512A" w:rsidRDefault="00664948" w:rsidP="0066494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49586D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 к договорам</w:t>
      </w:r>
      <w:r w:rsidR="00EA512A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A512A" w:rsidRPr="00EA512A">
        <w:t xml:space="preserve"> </w:t>
      </w:r>
      <w:r w:rsidR="00EA512A" w:rsidRPr="00EA512A">
        <w:rPr>
          <w:rFonts w:ascii="Times New Roman" w:hAnsi="Times New Roman" w:cs="Times New Roman"/>
          <w:color w:val="000000" w:themeColor="text1"/>
          <w:sz w:val="28"/>
          <w:szCs w:val="28"/>
        </w:rPr>
        <w:t>заключаемым в связи с предоставлением</w:t>
      </w:r>
      <w:r w:rsidRPr="004958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бюджетных инвестиций юридическим лицам, не являющимся </w:t>
      </w:r>
      <w:r w:rsidR="00D53EA4" w:rsidRPr="004958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государственными и </w:t>
      </w:r>
      <w:r w:rsidRPr="004958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муниципальными учреждениями и </w:t>
      </w:r>
      <w:r w:rsidR="00D53EA4" w:rsidRPr="004958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государственными и </w:t>
      </w:r>
      <w:r w:rsidRPr="0049586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муниципальными унитарными предприятиями, за счет средств </w:t>
      </w:r>
    </w:p>
    <w:p w:rsidR="00417919" w:rsidRPr="0049586D" w:rsidRDefault="00EA512A" w:rsidP="00664948">
      <w:pPr>
        <w:pStyle w:val="ConsPlusNormal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</w:t>
      </w:r>
      <w:r w:rsidR="00664948" w:rsidRPr="0049586D">
        <w:rPr>
          <w:rFonts w:ascii="Times New Roman" w:hAnsi="Times New Roman" w:cs="Times New Roman"/>
          <w:color w:val="000000" w:themeColor="text1"/>
          <w:sz w:val="28"/>
          <w:szCs w:val="28"/>
        </w:rPr>
        <w:t>МО «Невельский район»</w:t>
      </w:r>
    </w:p>
    <w:p w:rsidR="00417919" w:rsidRDefault="00417919">
      <w:pPr>
        <w:pStyle w:val="ConsPlusTitle"/>
        <w:jc w:val="center"/>
      </w:pPr>
      <w:bookmarkStart w:id="2" w:name="P45"/>
      <w:bookmarkEnd w:id="2"/>
    </w:p>
    <w:p w:rsidR="00417919" w:rsidRPr="00BF52CD" w:rsidRDefault="0041791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52CD">
        <w:rPr>
          <w:rFonts w:ascii="Times New Roman" w:hAnsi="Times New Roman" w:cs="Times New Roman"/>
          <w:sz w:val="28"/>
          <w:szCs w:val="28"/>
        </w:rPr>
        <w:t xml:space="preserve">1. Настоящий документ устанавливает </w:t>
      </w:r>
      <w:r w:rsidR="00664948" w:rsidRPr="00BF52CD">
        <w:rPr>
          <w:rFonts w:ascii="Times New Roman" w:hAnsi="Times New Roman" w:cs="Times New Roman"/>
          <w:sz w:val="28"/>
          <w:szCs w:val="28"/>
        </w:rPr>
        <w:t xml:space="preserve">требования к договорам о предоставлении бюджетных инвестиций юридическим лицам, не являющимся </w:t>
      </w:r>
      <w:r w:rsidR="007E7F6D" w:rsidRPr="00BF52CD">
        <w:rPr>
          <w:rFonts w:ascii="Times New Roman" w:hAnsi="Times New Roman" w:cs="Times New Roman"/>
          <w:sz w:val="28"/>
          <w:szCs w:val="28"/>
        </w:rPr>
        <w:t xml:space="preserve">государственными и </w:t>
      </w:r>
      <w:r w:rsidR="00664948" w:rsidRPr="00BF52CD">
        <w:rPr>
          <w:rFonts w:ascii="Times New Roman" w:hAnsi="Times New Roman" w:cs="Times New Roman"/>
          <w:sz w:val="28"/>
          <w:szCs w:val="28"/>
        </w:rPr>
        <w:t xml:space="preserve">муниципальными учреждениями и </w:t>
      </w:r>
      <w:r w:rsidR="007E7F6D" w:rsidRPr="00BF52CD">
        <w:rPr>
          <w:rFonts w:ascii="Times New Roman" w:hAnsi="Times New Roman" w:cs="Times New Roman"/>
          <w:sz w:val="28"/>
          <w:szCs w:val="28"/>
        </w:rPr>
        <w:t xml:space="preserve">государственными и </w:t>
      </w:r>
      <w:r w:rsidR="00664948" w:rsidRPr="00BF52CD">
        <w:rPr>
          <w:rFonts w:ascii="Times New Roman" w:hAnsi="Times New Roman" w:cs="Times New Roman"/>
          <w:sz w:val="28"/>
          <w:szCs w:val="28"/>
        </w:rPr>
        <w:t xml:space="preserve">муниципальными унитарными предприятиями, за счет средств бюджета  МО «Невельский район» </w:t>
      </w:r>
      <w:r w:rsidRPr="00BF52CD">
        <w:rPr>
          <w:rFonts w:ascii="Times New Roman" w:hAnsi="Times New Roman" w:cs="Times New Roman"/>
          <w:sz w:val="28"/>
          <w:szCs w:val="28"/>
        </w:rPr>
        <w:t xml:space="preserve">(далее соответственно - юридическое лицо, получающее бюджетные </w:t>
      </w:r>
      <w:r w:rsidR="00700184">
        <w:rPr>
          <w:rFonts w:ascii="Times New Roman" w:hAnsi="Times New Roman" w:cs="Times New Roman"/>
          <w:sz w:val="28"/>
          <w:szCs w:val="28"/>
        </w:rPr>
        <w:t>инвестиции</w:t>
      </w:r>
      <w:r w:rsidRPr="00BF52CD">
        <w:rPr>
          <w:rFonts w:ascii="Times New Roman" w:hAnsi="Times New Roman" w:cs="Times New Roman"/>
          <w:sz w:val="28"/>
          <w:szCs w:val="28"/>
        </w:rPr>
        <w:t>), заключаемому между</w:t>
      </w:r>
      <w:r w:rsidR="00664948" w:rsidRPr="00BF52CD">
        <w:rPr>
          <w:rFonts w:ascii="Times New Roman" w:hAnsi="Times New Roman" w:cs="Times New Roman"/>
          <w:sz w:val="28"/>
          <w:szCs w:val="28"/>
        </w:rPr>
        <w:t xml:space="preserve"> Администрацией Невельского района, предоставляющей</w:t>
      </w:r>
      <w:r w:rsidRPr="00BF52CD">
        <w:rPr>
          <w:rFonts w:ascii="Times New Roman" w:hAnsi="Times New Roman" w:cs="Times New Roman"/>
          <w:sz w:val="28"/>
          <w:szCs w:val="28"/>
        </w:rPr>
        <w:t xml:space="preserve"> бюджетные инвестиции, и юридическим лицом, получающим бюджетные инвестиции (далее - договор о предоставлении бюджетных инвестиций).</w:t>
      </w:r>
    </w:p>
    <w:p w:rsidR="00417919" w:rsidRPr="00BF52CD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52CD">
        <w:rPr>
          <w:rFonts w:ascii="Times New Roman" w:hAnsi="Times New Roman" w:cs="Times New Roman"/>
          <w:sz w:val="28"/>
          <w:szCs w:val="28"/>
        </w:rPr>
        <w:t xml:space="preserve">2. Договор о предоставлении бюджетных инвестиций заключается в пределах бюджетных ассигнований, </w:t>
      </w:r>
      <w:r w:rsidR="00664948" w:rsidRPr="00BF52CD">
        <w:rPr>
          <w:rFonts w:ascii="Times New Roman" w:hAnsi="Times New Roman" w:cs="Times New Roman"/>
          <w:sz w:val="28"/>
          <w:szCs w:val="28"/>
        </w:rPr>
        <w:t xml:space="preserve">утвержденных решением Собрания депутатов Невельского района  о </w:t>
      </w:r>
      <w:r w:rsidRPr="00BF52CD">
        <w:rPr>
          <w:rFonts w:ascii="Times New Roman" w:hAnsi="Times New Roman" w:cs="Times New Roman"/>
          <w:sz w:val="28"/>
          <w:szCs w:val="28"/>
        </w:rPr>
        <w:t xml:space="preserve"> бюджете </w:t>
      </w:r>
      <w:r w:rsidR="00664948" w:rsidRPr="00BF52CD">
        <w:rPr>
          <w:rFonts w:ascii="Times New Roman" w:hAnsi="Times New Roman" w:cs="Times New Roman"/>
          <w:sz w:val="28"/>
          <w:szCs w:val="28"/>
        </w:rPr>
        <w:t xml:space="preserve">МО «Невельский район» </w:t>
      </w:r>
      <w:r w:rsidRPr="00BF52CD">
        <w:rPr>
          <w:rFonts w:ascii="Times New Roman" w:hAnsi="Times New Roman" w:cs="Times New Roman"/>
          <w:sz w:val="28"/>
          <w:szCs w:val="28"/>
        </w:rPr>
        <w:t>на соответствующий финансовый год и плановый п</w:t>
      </w:r>
      <w:r w:rsidR="003D74C2" w:rsidRPr="00BF52CD">
        <w:rPr>
          <w:rFonts w:ascii="Times New Roman" w:hAnsi="Times New Roman" w:cs="Times New Roman"/>
          <w:sz w:val="28"/>
          <w:szCs w:val="28"/>
        </w:rPr>
        <w:t>ериод.</w:t>
      </w:r>
    </w:p>
    <w:p w:rsidR="00417919" w:rsidRPr="00BF52CD" w:rsidRDefault="00BF52CD" w:rsidP="003D74C2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3" w:name="P60"/>
      <w:bookmarkEnd w:id="3"/>
      <w:r w:rsidRPr="00BF52CD">
        <w:rPr>
          <w:rFonts w:ascii="Times New Roman" w:hAnsi="Times New Roman" w:cs="Times New Roman"/>
          <w:sz w:val="28"/>
          <w:szCs w:val="28"/>
        </w:rPr>
        <w:t>3</w:t>
      </w:r>
      <w:r w:rsidR="00417919" w:rsidRPr="00BF52CD">
        <w:rPr>
          <w:rFonts w:ascii="Times New Roman" w:hAnsi="Times New Roman" w:cs="Times New Roman"/>
          <w:sz w:val="28"/>
          <w:szCs w:val="28"/>
        </w:rPr>
        <w:t xml:space="preserve">. Договор о предоставлении бюджетных инвестиций и дополнительные соглашения к указанному договору, предусматривающие внесение в него изменений или его расторжение, заключаются в соответствии с типовыми формами, утверждаемыми </w:t>
      </w:r>
      <w:bookmarkStart w:id="4" w:name="_GoBack"/>
      <w:bookmarkEnd w:id="4"/>
      <w:r w:rsidR="003D74C2" w:rsidRPr="00BF52CD">
        <w:rPr>
          <w:rFonts w:ascii="Times New Roman" w:hAnsi="Times New Roman" w:cs="Times New Roman"/>
          <w:sz w:val="28"/>
          <w:szCs w:val="28"/>
        </w:rPr>
        <w:t>финансовым управлением Администрации Невельского района.</w:t>
      </w:r>
    </w:p>
    <w:p w:rsidR="00417919" w:rsidRPr="00BF52CD" w:rsidRDefault="00BF52CD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5" w:name="P62"/>
      <w:bookmarkEnd w:id="5"/>
      <w:r w:rsidRPr="00BF52CD">
        <w:rPr>
          <w:rFonts w:ascii="Times New Roman" w:hAnsi="Times New Roman" w:cs="Times New Roman"/>
          <w:sz w:val="28"/>
          <w:szCs w:val="28"/>
        </w:rPr>
        <w:t>4</w:t>
      </w:r>
      <w:r w:rsidR="00417919" w:rsidRPr="00BF52CD">
        <w:rPr>
          <w:rFonts w:ascii="Times New Roman" w:hAnsi="Times New Roman" w:cs="Times New Roman"/>
          <w:sz w:val="28"/>
          <w:szCs w:val="28"/>
        </w:rPr>
        <w:t>. Договором о предоставлении бюджетных инвестиций предусматриваются:</w:t>
      </w:r>
    </w:p>
    <w:p w:rsidR="00417919" w:rsidRPr="00BF52CD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52CD">
        <w:rPr>
          <w:rFonts w:ascii="Times New Roman" w:hAnsi="Times New Roman" w:cs="Times New Roman"/>
          <w:sz w:val="28"/>
          <w:szCs w:val="28"/>
        </w:rPr>
        <w:t>а) целевое назначение бюджетных инвестиций и их объем (с распределением по годам);</w:t>
      </w:r>
    </w:p>
    <w:p w:rsidR="00417919" w:rsidRPr="00BF52CD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52CD">
        <w:rPr>
          <w:rFonts w:ascii="Times New Roman" w:hAnsi="Times New Roman" w:cs="Times New Roman"/>
          <w:sz w:val="28"/>
          <w:szCs w:val="28"/>
        </w:rPr>
        <w:t>б) показатели результативности предоставления бюджетных инвестиций (далее - показатели результативности) и их значения;</w:t>
      </w:r>
    </w:p>
    <w:p w:rsidR="00417919" w:rsidRPr="00BF52CD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52CD">
        <w:rPr>
          <w:rFonts w:ascii="Times New Roman" w:hAnsi="Times New Roman" w:cs="Times New Roman"/>
          <w:sz w:val="28"/>
          <w:szCs w:val="28"/>
        </w:rPr>
        <w:t>в) положения, устанавливающие права и обязанности сторон договора о предоставлении бюджетных инвестиций и порядок взаимодействия сторон при его реализации;</w:t>
      </w:r>
    </w:p>
    <w:p w:rsidR="00417919" w:rsidRPr="00BF52CD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52CD">
        <w:rPr>
          <w:rFonts w:ascii="Times New Roman" w:hAnsi="Times New Roman" w:cs="Times New Roman"/>
          <w:sz w:val="28"/>
          <w:szCs w:val="28"/>
        </w:rPr>
        <w:t xml:space="preserve">г) сроки (порядок определения </w:t>
      </w:r>
      <w:r w:rsidRPr="00BF52CD">
        <w:rPr>
          <w:rFonts w:ascii="Times New Roman" w:hAnsi="Times New Roman" w:cs="Times New Roman"/>
          <w:color w:val="000000" w:themeColor="text1"/>
          <w:sz w:val="28"/>
          <w:szCs w:val="28"/>
        </w:rPr>
        <w:t>сроков)</w:t>
      </w:r>
      <w:r w:rsidR="003D74C2" w:rsidRPr="00BF52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принятия в установленном </w:t>
      </w:r>
      <w:r w:rsidRPr="00BF52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порядке решения об увеличении уставного капитала юридического лица, получающего бюджетные инвестиции, являющегося акционерным обществом, путем размещения дополнительных акций на сумму предоставляемых бюджетных инвестиций;</w:t>
      </w:r>
    </w:p>
    <w:p w:rsidR="00417919" w:rsidRPr="00BF52CD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BF52CD">
        <w:rPr>
          <w:rFonts w:ascii="Times New Roman" w:hAnsi="Times New Roman" w:cs="Times New Roman"/>
          <w:sz w:val="28"/>
          <w:szCs w:val="28"/>
        </w:rPr>
        <w:t>д) порядок, объемы и сроки (порядок определения сроков) оплаты акций (долей) в уставном (складочном) капитале юридического лица, получающего бюджетные инвестиции;</w:t>
      </w:r>
    </w:p>
    <w:p w:rsidR="00417919" w:rsidRPr="00BF52CD" w:rsidRDefault="00417919" w:rsidP="003D7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P68"/>
      <w:bookmarkEnd w:id="6"/>
      <w:r w:rsidRPr="00BF52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е) положения, предусматривающие перечисление бюджетных инвестиций в соответствии с бюджетным законодательством Российской Федерации на счет, открытый территориальному органу Федерального казначейства в учреждении Центрального банка Российской Федерации для учета денежных средств юридических лиц, не являющихся участниками бюджетного процесса, в случаях, установленных бюджетным законодательством </w:t>
      </w:r>
      <w:r w:rsidR="00700184">
        <w:rPr>
          <w:rFonts w:ascii="Times New Roman" w:hAnsi="Times New Roman" w:cs="Times New Roman"/>
          <w:color w:val="000000" w:themeColor="text1"/>
          <w:sz w:val="28"/>
          <w:szCs w:val="28"/>
        </w:rPr>
        <w:t>Российской Федерации;</w:t>
      </w:r>
    </w:p>
    <w:p w:rsidR="00417919" w:rsidRPr="00BF52CD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P70"/>
      <w:bookmarkEnd w:id="7"/>
      <w:r w:rsidRPr="00BF52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ж) условие об осуществлении операций по зачислению (списанию) средств на счет, указанный в </w:t>
      </w:r>
      <w:hyperlink w:anchor="P68" w:history="1">
        <w:r w:rsidRPr="00BF52C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"е"</w:t>
        </w:r>
      </w:hyperlink>
      <w:r w:rsidRPr="00BF52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пункта, в порядке, установленном Федеральным казначейством, с отражением указанных операций на лицевом счете, предназначенном для учета операций со средствами юридических лиц, не являющихся участниками бюджетного процесса, открытом юридическому лицу, получающему бюджетные инвестиции, в порядке, установленном Федеральным казначейством;</w:t>
      </w:r>
    </w:p>
    <w:p w:rsidR="00417919" w:rsidRPr="00BF52CD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2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з) условие об осуществлении операций по списанию средств, отраженных на лицевом счете, указанном в </w:t>
      </w:r>
      <w:hyperlink w:anchor="P70" w:history="1">
        <w:r w:rsidRPr="00BF52CD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"ж"</w:t>
        </w:r>
      </w:hyperlink>
      <w:r w:rsidRPr="00BF52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пункта, после проведения территориальным органом Федерального казначейства санкционирования операций в порядке, установленном Министерством финансов Российской Федерации, определяющем в том числе перечень документов, подлежащих представлению в территориальный орган Федерального казначейства для подтверждения возникновения денежных обязательств юридического лица, получающего бюджетные инвестиции, источником финансового обеспечения которых являются указанные средства;</w:t>
      </w:r>
    </w:p>
    <w:p w:rsidR="00417919" w:rsidRPr="00BF52CD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2CD">
        <w:rPr>
          <w:rFonts w:ascii="Times New Roman" w:hAnsi="Times New Roman" w:cs="Times New Roman"/>
          <w:color w:val="000000" w:themeColor="text1"/>
          <w:sz w:val="28"/>
          <w:szCs w:val="28"/>
        </w:rPr>
        <w:t>и) положения о запрете:</w:t>
      </w:r>
    </w:p>
    <w:p w:rsidR="00417919" w:rsidRPr="00BF52CD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2CD">
        <w:rPr>
          <w:rFonts w:ascii="Times New Roman" w:hAnsi="Times New Roman" w:cs="Times New Roman"/>
          <w:color w:val="000000" w:themeColor="text1"/>
          <w:sz w:val="28"/>
          <w:szCs w:val="28"/>
        </w:rPr>
        <w:t>на приобретение юридическим лицом, получающим бюджетные инвестиции, за счет полученных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иных операций, связанных с достижением целей предос</w:t>
      </w:r>
      <w:r w:rsidR="00BF52CD" w:rsidRPr="00BF52CD">
        <w:rPr>
          <w:rFonts w:ascii="Times New Roman" w:hAnsi="Times New Roman" w:cs="Times New Roman"/>
          <w:color w:val="000000" w:themeColor="text1"/>
          <w:sz w:val="28"/>
          <w:szCs w:val="28"/>
        </w:rPr>
        <w:t>тавления бюджетных инвестиций</w:t>
      </w:r>
      <w:r w:rsidRPr="00BF52CD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17919" w:rsidRPr="00BF52CD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BF52C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осуществление операций, определенных </w:t>
      </w:r>
      <w:r w:rsidR="005D613B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нормативными правовыми актами Администрации Невельского района</w:t>
      </w:r>
      <w:r w:rsidRPr="00BF52CD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в случаях, установленных в соответствии с бюджетным законодательством Российской Федерации, при осуществлении казначейского сопровождения бюджетных инвестиций;</w:t>
      </w:r>
    </w:p>
    <w:p w:rsidR="00417919" w:rsidRPr="00E87589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8" w:name="P75"/>
      <w:bookmarkEnd w:id="8"/>
      <w:r w:rsidRPr="00E87589">
        <w:rPr>
          <w:rFonts w:ascii="Times New Roman" w:hAnsi="Times New Roman" w:cs="Times New Roman"/>
          <w:sz w:val="28"/>
          <w:szCs w:val="28"/>
        </w:rPr>
        <w:t>к) порядок и сроки представления юридическим лицом, получающим бюджетные инвестиции</w:t>
      </w:r>
      <w:r w:rsidR="003D74C2" w:rsidRPr="00E87589">
        <w:rPr>
          <w:rFonts w:ascii="Times New Roman" w:hAnsi="Times New Roman" w:cs="Times New Roman"/>
          <w:sz w:val="28"/>
          <w:szCs w:val="28"/>
        </w:rPr>
        <w:t>, установленной Администрацией Невельского района</w:t>
      </w:r>
      <w:r w:rsidRPr="00E87589">
        <w:rPr>
          <w:rFonts w:ascii="Times New Roman" w:hAnsi="Times New Roman" w:cs="Times New Roman"/>
          <w:sz w:val="28"/>
          <w:szCs w:val="28"/>
        </w:rPr>
        <w:t xml:space="preserve"> отчетности о расходах, источником финансового обеспечения которых являются бюджетные инвестиции, а также о достижении значений показателей результативности;</w:t>
      </w:r>
    </w:p>
    <w:p w:rsidR="00417919" w:rsidRPr="00E87589" w:rsidRDefault="003D74C2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9" w:name="P76"/>
      <w:bookmarkEnd w:id="9"/>
      <w:r w:rsidRPr="00E87589">
        <w:rPr>
          <w:rFonts w:ascii="Times New Roman" w:hAnsi="Times New Roman" w:cs="Times New Roman"/>
          <w:sz w:val="28"/>
          <w:szCs w:val="28"/>
        </w:rPr>
        <w:t xml:space="preserve">л) право Администрации Невельского района </w:t>
      </w:r>
      <w:r w:rsidR="00417919" w:rsidRPr="00E87589">
        <w:rPr>
          <w:rFonts w:ascii="Times New Roman" w:hAnsi="Times New Roman" w:cs="Times New Roman"/>
          <w:sz w:val="28"/>
          <w:szCs w:val="28"/>
        </w:rPr>
        <w:t>на проведение проверок соблюдения юридическим лицом, получающим бюджетные инвестиции, целей, условий и порядка предоставления бюджетных инвестиций;</w:t>
      </w:r>
    </w:p>
    <w:p w:rsidR="00417919" w:rsidRPr="00E87589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589">
        <w:rPr>
          <w:rFonts w:ascii="Times New Roman" w:hAnsi="Times New Roman" w:cs="Times New Roman"/>
          <w:sz w:val="28"/>
          <w:szCs w:val="28"/>
        </w:rPr>
        <w:t>м) ответственность юридического лица, получающего бюджетные инвестиции, за несоблюдение условий предоставления бюджетных инвестиций;</w:t>
      </w:r>
    </w:p>
    <w:p w:rsidR="00417919" w:rsidRPr="00E87589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589">
        <w:rPr>
          <w:rFonts w:ascii="Times New Roman" w:hAnsi="Times New Roman" w:cs="Times New Roman"/>
          <w:sz w:val="28"/>
          <w:szCs w:val="28"/>
        </w:rPr>
        <w:t>н) порядок возврата юридическим лицом, получающим бюджетные инвестиции, по</w:t>
      </w:r>
      <w:r w:rsidR="00E87589">
        <w:rPr>
          <w:rFonts w:ascii="Times New Roman" w:hAnsi="Times New Roman" w:cs="Times New Roman"/>
          <w:sz w:val="28"/>
          <w:szCs w:val="28"/>
        </w:rPr>
        <w:t xml:space="preserve">лученных средств </w:t>
      </w:r>
      <w:r w:rsidRPr="00E87589">
        <w:rPr>
          <w:rFonts w:ascii="Times New Roman" w:hAnsi="Times New Roman" w:cs="Times New Roman"/>
          <w:sz w:val="28"/>
          <w:szCs w:val="28"/>
        </w:rPr>
        <w:t>в случае установления факта несоблюдения им целей, условий и порядка предоставления бюджетных инвестиций.</w:t>
      </w:r>
    </w:p>
    <w:p w:rsidR="00417919" w:rsidRPr="00E87589" w:rsidRDefault="00E8758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589">
        <w:rPr>
          <w:rFonts w:ascii="Times New Roman" w:hAnsi="Times New Roman" w:cs="Times New Roman"/>
          <w:sz w:val="28"/>
          <w:szCs w:val="28"/>
        </w:rPr>
        <w:t>5</w:t>
      </w:r>
      <w:r w:rsidR="00417919" w:rsidRPr="00E87589">
        <w:rPr>
          <w:rFonts w:ascii="Times New Roman" w:hAnsi="Times New Roman" w:cs="Times New Roman"/>
          <w:sz w:val="28"/>
          <w:szCs w:val="28"/>
        </w:rPr>
        <w:t xml:space="preserve">. Договором о предоставлении бюджетных инвестиций на осуществление капитальных вложений в объекты капитального строительства, находящиеся в собственности юридического лица, получающего бюджетные инвестиции, и (или) приобретение юридическим лицом, получающим бюджетные инвестиции, объектов недвижимого имущества помимо положений, указанных в </w:t>
      </w:r>
      <w:hyperlink w:anchor="P62" w:history="1">
        <w:r w:rsidR="00417919" w:rsidRPr="00E87589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</w:hyperlink>
      <w:r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417919"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D613B">
        <w:rPr>
          <w:rFonts w:ascii="Times New Roman" w:hAnsi="Times New Roman" w:cs="Times New Roman"/>
          <w:sz w:val="28"/>
          <w:szCs w:val="28"/>
        </w:rPr>
        <w:t>настоящих требований</w:t>
      </w:r>
      <w:r w:rsidR="00417919" w:rsidRPr="00E87589">
        <w:rPr>
          <w:rFonts w:ascii="Times New Roman" w:hAnsi="Times New Roman" w:cs="Times New Roman"/>
          <w:sz w:val="28"/>
          <w:szCs w:val="28"/>
        </w:rPr>
        <w:t>, также предусматриваются:</w:t>
      </w:r>
    </w:p>
    <w:p w:rsidR="00417919" w:rsidRPr="00E87589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bookmarkStart w:id="10" w:name="P80"/>
      <w:bookmarkEnd w:id="10"/>
      <w:r w:rsidRPr="00E87589">
        <w:rPr>
          <w:rFonts w:ascii="Times New Roman" w:hAnsi="Times New Roman" w:cs="Times New Roman"/>
          <w:sz w:val="28"/>
          <w:szCs w:val="28"/>
        </w:rPr>
        <w:t>а) наименование каждого объекта капитального строительства и (или) объекта недвижимого имущества, информация о его мощности, сроке строительства (реконструкции, в том числе с элементами реставрации, технического перевооружения) и (или) приобретения, сметной стоимости (предполагаемой (предельной) стоимости) и (или) стоимости приобретения, а также об общем объеме капитальных вложений за счет всех источников финансового обеспечения с выделением объема бюджетных инвестиций и иных источников финансового обеспечения (с распределением указанных объемов по годам);</w:t>
      </w:r>
    </w:p>
    <w:p w:rsidR="00417919" w:rsidRPr="00E87589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87589">
        <w:rPr>
          <w:rFonts w:ascii="Times New Roman" w:hAnsi="Times New Roman" w:cs="Times New Roman"/>
          <w:sz w:val="28"/>
          <w:szCs w:val="28"/>
        </w:rPr>
        <w:t>б) обязательство юридического лица, получающего бюджетные инвестиции, обеспечить вложение в реализацию инвестиционного проекта по строительству (реконструкции, в том числе с элементами реставрации, техническому перевооружению) объектов капитального строительства и (или) приобретению объектов недвижимого имущества инвестиций в объеме, предусмотренн</w:t>
      </w:r>
      <w:r w:rsidR="003C10FA" w:rsidRPr="00E87589">
        <w:rPr>
          <w:rFonts w:ascii="Times New Roman" w:hAnsi="Times New Roman" w:cs="Times New Roman"/>
          <w:sz w:val="28"/>
          <w:szCs w:val="28"/>
        </w:rPr>
        <w:t>ом принятым в установленном Администрацией Невельского района порядке нормативным правовым актом Администрации Невельского района</w:t>
      </w:r>
      <w:r w:rsidRPr="00E87589">
        <w:rPr>
          <w:rFonts w:ascii="Times New Roman" w:hAnsi="Times New Roman" w:cs="Times New Roman"/>
          <w:sz w:val="28"/>
          <w:szCs w:val="28"/>
        </w:rPr>
        <w:t xml:space="preserve"> о предоставлении бюджетных инвестиций;</w:t>
      </w:r>
    </w:p>
    <w:p w:rsidR="00417919" w:rsidRPr="00E87589" w:rsidRDefault="00417919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1" w:name="P85"/>
      <w:bookmarkEnd w:id="11"/>
      <w:r w:rsidRPr="00E87589">
        <w:rPr>
          <w:rFonts w:ascii="Times New Roman" w:hAnsi="Times New Roman" w:cs="Times New Roman"/>
          <w:sz w:val="28"/>
          <w:szCs w:val="28"/>
        </w:rPr>
        <w:t>в) обязанность юридического лица, получающего бюджетные инвестиции, обеспечить разработку проектной документации в отношении объектов капитального строительства и проведение инженерных изысканий, выполняемых для подготовки такой проектной документации, приобретение земельных участков под строительство (в случае необходимости),</w:t>
      </w:r>
      <w:r>
        <w:t xml:space="preserve"> </w:t>
      </w:r>
      <w:r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>проведение государственной экспертизы проектной документации и результатов инженерных изысканий</w:t>
      </w:r>
      <w:r w:rsidR="003C10FA"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>, проведение в установленном</w:t>
      </w:r>
      <w:r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порядке проверки достоверности определения сметной стоимости объектов капитального строительства, а также проведение в установленных Правительством Российской Федерации случаях и порядке технологического и ценового аудита инвестиционных проектов и аудита проектной документации без использования на эти цели бюджетных инвестиций;</w:t>
      </w:r>
    </w:p>
    <w:p w:rsidR="00417919" w:rsidRPr="00E87589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>г) условие о соблюдении юридическим лицом, получающим бюджетные инвестиции, при определении поставщиков (подрядчиков, исполнителей) и исполнении гражданско-правовых договоров, которые полностью либо частично оплачиваются за счет полученных средств, положений, установленных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(в случае реализации инвестиционных проектов по строительству, реконструкции и техническому перевооружению объектов капитального строительства);</w:t>
      </w:r>
    </w:p>
    <w:p w:rsidR="00417919" w:rsidRPr="00E87589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>д) обязательство юридического лица, получающего бюджетные инвестиции, обеспечить осуществление эксплуатационных расходов, необходимых для содержания объектов капитального строительства и (или) объектов недвижимого имущества после ввода их в эксплуатацию и (или) приобретения, без использования на эти цели средств,</w:t>
      </w:r>
      <w:r w:rsidR="003C10FA"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предоставляемых из</w:t>
      </w:r>
      <w:r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</w:t>
      </w:r>
      <w:r w:rsidR="003C10FA"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МО «Невельский район»</w:t>
      </w:r>
      <w:r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в соответствии с иными договорами о предоставлении бюджетных инвестиций.</w:t>
      </w:r>
    </w:p>
    <w:p w:rsidR="00417919" w:rsidRPr="00E87589" w:rsidRDefault="00E8758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417919"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>. Положения договора о предоставлении бюджетных инвестиций на осуществление капитальных вложений в объекты капитального строительства, находящиеся в собственности юридического лица, получающего бюджетные инвестиции, и (или) на приобретение юридическим лицом, получающим бюджетные инвестиции, объектов недвижимого имущества должны соответствовать аналогичным положениям</w:t>
      </w:r>
      <w:r w:rsidR="005D613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17919"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принятог</w:t>
      </w:r>
      <w:r w:rsidR="005D613B">
        <w:rPr>
          <w:rFonts w:ascii="Times New Roman" w:hAnsi="Times New Roman" w:cs="Times New Roman"/>
          <w:color w:val="000000" w:themeColor="text1"/>
          <w:sz w:val="28"/>
          <w:szCs w:val="28"/>
        </w:rPr>
        <w:t>о в установленном</w:t>
      </w:r>
      <w:r w:rsidR="00417919"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порядке</w:t>
      </w:r>
      <w:r w:rsidR="005D613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417919"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</w:t>
      </w:r>
      <w:r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>(нормативного правового акта) Администрации Невельского района</w:t>
      </w:r>
      <w:r w:rsidR="00417919"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предоставлении бюджетных инвестиций.</w:t>
      </w:r>
    </w:p>
    <w:p w:rsidR="00417919" w:rsidRPr="00E87589" w:rsidRDefault="00E8758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2" w:name="P91"/>
      <w:bookmarkEnd w:id="12"/>
      <w:r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417919"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Договором о предоставлении бюджетных инвестиций в целях последующего предоставления взносов в уставные (складочные) капиталы дочерних обществ юридического лица, получающего бюджетные инвестиции (далее - дочерние общества), и (или) вкладов в имущество дочерних обществ, не увеличивающих их уставный (складочный) капитал (далее - взносы (вклады), помимо положений, указанных в </w:t>
      </w:r>
      <w:hyperlink w:anchor="P62" w:history="1">
        <w:r w:rsidR="00417919" w:rsidRPr="00E87589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</w:hyperlink>
      <w:r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D61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требований</w:t>
      </w:r>
      <w:r w:rsidR="00417919"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>, также предусматриваются:</w:t>
      </w:r>
    </w:p>
    <w:p w:rsidR="00417919" w:rsidRPr="00E87589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>а) наименования дочерних обществ;</w:t>
      </w:r>
    </w:p>
    <w:p w:rsidR="00417919" w:rsidRPr="00E87589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>б) целевое назначение предоставляемых взносов (вкладов), соответствующее целевому назначению предоставляемых бюджетных инвестиций, и их объем (с распределением по годам);</w:t>
      </w:r>
    </w:p>
    <w:p w:rsidR="00417919" w:rsidRPr="00E87589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>в) сроки перечисления взносов (вкладов), которые не могут превышать 90 календарных дней со дня перечисления бюджетных инвестиций юридическому лицу, получающему бюджетные инвестиции, е</w:t>
      </w:r>
      <w:r w:rsidR="003C10FA"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>сли Администрацией Невельского района</w:t>
      </w:r>
      <w:r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определены иные сроки или порядок определения указанных сроков;</w:t>
      </w:r>
    </w:p>
    <w:p w:rsidR="00417919" w:rsidRPr="00E87589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положение о представлении юридическим лицом, получающим бюджетные инвестиции, в составе отчетности, указанной в </w:t>
      </w:r>
      <w:hyperlink w:anchor="P75" w:history="1">
        <w:r w:rsidRPr="00E87589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"к" пункта </w:t>
        </w:r>
      </w:hyperlink>
      <w:r w:rsidR="00E87589"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D61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требований</w:t>
      </w:r>
      <w:r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>, информации об использовании дочерними обществами полученных средств;</w:t>
      </w:r>
    </w:p>
    <w:p w:rsidR="00417919" w:rsidRPr="00E87589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>д) положения о предоставлении взносов (вкладов) на условиях, п</w:t>
      </w:r>
      <w:r w:rsidR="003C10FA"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>редусматривающих право Администрации Невельского района</w:t>
      </w:r>
      <w:r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проведение в отношении дочерних обществ проверок, предусмотренных </w:t>
      </w:r>
      <w:hyperlink w:anchor="P76" w:history="1">
        <w:r w:rsidRPr="00E87589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подпунктом "л" пункта </w:t>
        </w:r>
      </w:hyperlink>
      <w:r w:rsidR="00E87589"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D61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требований</w:t>
      </w:r>
      <w:r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17919" w:rsidRPr="0010192E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3" w:name="P97"/>
      <w:bookmarkEnd w:id="13"/>
      <w:r w:rsidRPr="00E87589">
        <w:rPr>
          <w:rFonts w:ascii="Times New Roman" w:hAnsi="Times New Roman" w:cs="Times New Roman"/>
          <w:color w:val="000000" w:themeColor="text1"/>
          <w:sz w:val="28"/>
          <w:szCs w:val="28"/>
        </w:rPr>
        <w:t>е) обязательство юридического лица, получающего бюджетные инвестиции, по предоставлению взносов (вкладов) на условиях, предусмотренных заключаемыми им с каждым из дочерних обществ договорами о предоставлении взноса (вклада), а также ответственность юридического лица, получающего бюджетные</w:t>
      </w:r>
      <w:r w:rsidRPr="00E87589">
        <w:rPr>
          <w:color w:val="000000" w:themeColor="text1"/>
        </w:rPr>
        <w:t xml:space="preserve"> </w:t>
      </w:r>
      <w:r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>инвестиции, за несоблюдение дочерними обществами указанных условий.</w:t>
      </w:r>
    </w:p>
    <w:p w:rsidR="00417919" w:rsidRPr="0010192E" w:rsidRDefault="001019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417919"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Договором о предоставлении бюджетных инвестиций в целях последующего предоставления взносов в уставные (складочные) капиталы дочерних обществ на осуществление капитальных вложений в объекты капитального строительства, которые находятся (будут находиться) в собственности дочерних обществ, и (или) на приобретение дочерними обществами объектов недвижимого имущества (далее - взносы на осуществление капитальных вложений) предусматриваются положения, указанные в </w:t>
      </w:r>
      <w:hyperlink w:anchor="P62" w:history="1">
        <w:r w:rsidR="00417919" w:rsidRPr="0010192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пункте 3</w:t>
        </w:r>
      </w:hyperlink>
      <w:r w:rsidR="00417919"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</w:t>
      </w:r>
      <w:hyperlink w:anchor="P80" w:history="1">
        <w:r w:rsidR="00417919" w:rsidRPr="0010192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подпунктах "а"</w:t>
        </w:r>
      </w:hyperlink>
      <w:r w:rsidR="00417919"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- </w:t>
      </w:r>
      <w:hyperlink w:anchor="P85" w:history="1">
        <w:r w:rsidR="00417919" w:rsidRPr="0010192E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"в" пункта </w:t>
        </w:r>
      </w:hyperlink>
      <w:r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417919"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hyperlink w:anchor="P91" w:history="1">
        <w:r w:rsidR="00417919" w:rsidRPr="0010192E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</w:hyperlink>
      <w:r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5D61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требований</w:t>
      </w:r>
      <w:r w:rsidR="00417919"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417919" w:rsidRPr="0010192E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>Положения указанного договора должны соответствовать аналогичным положениям</w:t>
      </w:r>
      <w:r w:rsidR="005D613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принятого в устано</w:t>
      </w:r>
      <w:r w:rsidR="003C10FA"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>вленном Администрацией Невельского района</w:t>
      </w:r>
      <w:r w:rsidR="0010192E"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порядке</w:t>
      </w:r>
      <w:r w:rsidR="005D613B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10192E"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решения </w:t>
      </w:r>
      <w:r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 бюджетных инвестиций.</w:t>
      </w:r>
    </w:p>
    <w:p w:rsidR="00417919" w:rsidRPr="0010192E" w:rsidRDefault="0010192E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4" w:name="P101"/>
      <w:bookmarkEnd w:id="14"/>
      <w:r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417919"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Договором между юридическим лицом, получающим бюджетные инвестиции, и дочерним обществом о предоставлении взноса (вклада), указанным в </w:t>
      </w:r>
      <w:hyperlink w:anchor="P97" w:history="1">
        <w:r w:rsidR="00417919" w:rsidRPr="0010192E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"е" пункта </w:t>
        </w:r>
      </w:hyperlink>
      <w:r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5D61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требований</w:t>
      </w:r>
      <w:r w:rsidR="00417919"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>, предусматриваются:</w:t>
      </w:r>
    </w:p>
    <w:p w:rsidR="00417919" w:rsidRPr="0010192E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>а) целевое назначение взноса (вклада) и его объем (с распределением по годам);</w:t>
      </w:r>
    </w:p>
    <w:p w:rsidR="00417919" w:rsidRPr="0010192E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>б) показатели результативности и их значения;</w:t>
      </w:r>
    </w:p>
    <w:p w:rsidR="00417919" w:rsidRPr="0010192E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>в) положения, устанавливающие</w:t>
      </w:r>
      <w:r w:rsidRPr="0010192E">
        <w:rPr>
          <w:color w:val="000000" w:themeColor="text1"/>
        </w:rPr>
        <w:t xml:space="preserve"> </w:t>
      </w:r>
      <w:r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>права и обязанности сторон и порядок взаимодействия сторон при реализации договора о предоставлении взноса (вклада);</w:t>
      </w:r>
    </w:p>
    <w:p w:rsidR="00417919" w:rsidRPr="0010192E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>г) сроки (порядок определения сроков) принятия в установленном порядке решения об увеличении уставного капитала дочернего общества, являющегося акционерным обществом, путем реализации дополнительного выпуска акций на сумму предоставляемого взноса;</w:t>
      </w:r>
    </w:p>
    <w:p w:rsidR="00417919" w:rsidRPr="0010192E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>д) сроки перечисления взноса (вклада);</w:t>
      </w:r>
    </w:p>
    <w:p w:rsidR="00417919" w:rsidRPr="0010192E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5" w:name="P107"/>
      <w:bookmarkEnd w:id="15"/>
      <w:r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е) положения, предусматривающие осуществление операций по перечислению взноса (вклада) за счет средств, отраженных на лицевом счете, указанном в </w:t>
      </w:r>
      <w:hyperlink w:anchor="P70" w:history="1">
        <w:r w:rsidRPr="0010192E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"ж" пункта </w:t>
        </w:r>
      </w:hyperlink>
      <w:r w:rsidR="0010192E"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5D61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требований</w:t>
      </w:r>
      <w:r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>, на счете, открытом соответствующему территориальному органу Федерального казначейства в учреждении Центрального банка Российской Федерации для учета денежных средств юридических лиц, не являющихся участниками бюджетного процесса;</w:t>
      </w:r>
    </w:p>
    <w:p w:rsidR="00417919" w:rsidRPr="0010192E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6" w:name="P108"/>
      <w:bookmarkEnd w:id="16"/>
      <w:r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ж) условие об осуществлении операций по списанию средств со счета, указанного в </w:t>
      </w:r>
      <w:hyperlink w:anchor="P107" w:history="1">
        <w:r w:rsidRPr="0010192E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"е"</w:t>
        </w:r>
      </w:hyperlink>
      <w:r w:rsidRPr="0010192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пункта, в порядке, установленном Федеральным казначейством, с отражением указанных операций на лицевом счете, предназначенном для учета операций со средствами юридических лиц, не являющихся участниками бюджетного процесса, открытом дочернему обществу в порядке, установленном Федеральным казначейством;</w:t>
      </w:r>
    </w:p>
    <w:p w:rsidR="00417919" w:rsidRPr="00222593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з) условие об осуществлении операций по списанию средств, отраженных на лицевом счете, указанном в </w:t>
      </w:r>
      <w:hyperlink w:anchor="P108" w:history="1">
        <w:r w:rsidRPr="0022259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"ж"</w:t>
        </w:r>
      </w:hyperlink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пункта, после проведения территориальным органом Федерального казначейства санкционирования операций в порядке, установленном Министерством финансов Российской Федерации, </w:t>
      </w:r>
      <w:r w:rsidR="00222593"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>определяющем,</w:t>
      </w:r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том числе</w:t>
      </w:r>
      <w:r w:rsidR="00222593"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перечень документов, подлежащих представлению в территориальный орган Федерального казначейства для подтверждения возникновения денежного обязательства дочернего общества, источником финансового обеспечения которых являются указанные средства;</w:t>
      </w:r>
    </w:p>
    <w:p w:rsidR="00417919" w:rsidRPr="00222593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>и) положения о запрете:</w:t>
      </w:r>
    </w:p>
    <w:p w:rsidR="00A75CA1" w:rsidRPr="00222593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приобретение дочерним обществом за счет полученных средств, отраженных на лицевом счете, указанном в </w:t>
      </w:r>
      <w:hyperlink w:anchor="P108" w:history="1">
        <w:r w:rsidRPr="00222593">
          <w:rPr>
            <w:rFonts w:ascii="Times New Roman" w:hAnsi="Times New Roman" w:cs="Times New Roman"/>
            <w:color w:val="000000" w:themeColor="text1"/>
            <w:sz w:val="28"/>
            <w:szCs w:val="28"/>
          </w:rPr>
          <w:t>подпункте "ж"</w:t>
        </w:r>
      </w:hyperlink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пункта, иностранной валюты, за исключением случаев, предусмотренных договором о предоставлении бюджетных инвестиций в отношении</w:t>
      </w:r>
      <w:r w:rsidRPr="00222593">
        <w:rPr>
          <w:color w:val="000000" w:themeColor="text1"/>
        </w:rPr>
        <w:t xml:space="preserve"> </w:t>
      </w:r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>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иных операций, связанных с достижением целей предоставления бюдж</w:t>
      </w:r>
      <w:r w:rsidR="005D613B">
        <w:rPr>
          <w:rFonts w:ascii="Times New Roman" w:hAnsi="Times New Roman" w:cs="Times New Roman"/>
          <w:color w:val="000000" w:themeColor="text1"/>
          <w:sz w:val="28"/>
          <w:szCs w:val="28"/>
        </w:rPr>
        <w:t>етных инвестиций</w:t>
      </w:r>
      <w:r w:rsidR="0070018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  <w:r w:rsidR="00A75CA1"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:rsidR="00417919" w:rsidRPr="00222593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осуществление операций, определенных </w:t>
      </w:r>
      <w:r w:rsidR="005D613B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нормативными правовыми актами Администрации Невельского района</w:t>
      </w:r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>, в том числе в случаях, установленных в соответствии с бюджетным законодательством Российской Федерации, при осуществлении казначейского сопровождения взносов (вкладов);</w:t>
      </w:r>
    </w:p>
    <w:p w:rsidR="00417919" w:rsidRPr="00222593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>к) порядок и сроки представления дочерним обществом отчетности о расходах, источником финансового обеспечения которых являются полученные средства, и о достижении значений показателей результативности;</w:t>
      </w:r>
    </w:p>
    <w:p w:rsidR="00417919" w:rsidRPr="00222593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>л) право юридического лица, получающего бюджетные инвестиции, и</w:t>
      </w:r>
      <w:r w:rsidR="00A75CA1"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Невельского района</w:t>
      </w:r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 проведение проверок соблюдения дочерним обществом целей и условий предоставления взноса (вклада);</w:t>
      </w:r>
    </w:p>
    <w:p w:rsidR="00417919" w:rsidRPr="00222593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>м) ответственность дочернего общества за несоблюдение условий, определенных договором о предоставлении взноса (вклада), а также порядок возврата дочерним обществом полученных средств в случае установления факта несоблюдения им целей и условий, определенных указанным договором.</w:t>
      </w:r>
    </w:p>
    <w:p w:rsidR="00417919" w:rsidRPr="00222593" w:rsidRDefault="0022259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417919"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Договором между юридическим лицом, получающим бюджетные инвестиции, и дочерним обществом о предоставлении взноса на осуществление капитальных вложений помимо положений, указанных в </w:t>
      </w:r>
      <w:hyperlink w:anchor="P101" w:history="1">
        <w:r w:rsidR="00417919" w:rsidRPr="0022259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пункте </w:t>
        </w:r>
      </w:hyperlink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5D61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требований</w:t>
      </w:r>
      <w:r w:rsidR="00417919"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>, также предусматриваются:</w:t>
      </w:r>
    </w:p>
    <w:p w:rsidR="00417919" w:rsidRPr="00222593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>а) наименование каждого объекта капитального строительства и (или) объекта недвижимого имущества, информация о его мощности, сроке строительства (реконструкции, в том числе с элементами реставрации, технического перевооружения) и (или) приобретения, сметной стоимости (предполагаемой (предельной) стоимости) и (или) стоимости приобретения, а также об общем объеме капитальных вложений за счет всех источников финансового обеспечения с выделением размера взноса на осуществление капитальных вложений (с распределением указанных объемов по годам);</w:t>
      </w:r>
    </w:p>
    <w:p w:rsidR="00417919" w:rsidRPr="00222593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>б) обязанность дочернего общества направить на реализацию инвестиционного проекта по строительству (реконструкции, в том числе с элементами реставрации, техническому перевооружению) объектов капитального строительства и (или) приобретению объектов недвижимого имущества инвестиции в объеме, предусмот</w:t>
      </w:r>
      <w:r w:rsidR="005D613B">
        <w:rPr>
          <w:rFonts w:ascii="Times New Roman" w:hAnsi="Times New Roman" w:cs="Times New Roman"/>
          <w:color w:val="000000" w:themeColor="text1"/>
          <w:sz w:val="28"/>
          <w:szCs w:val="28"/>
        </w:rPr>
        <w:t>ренном принятым в установленном</w:t>
      </w:r>
      <w:r w:rsidR="00A75CA1"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порядке нормативным правовым актом</w:t>
      </w:r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A75CA1"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Невельского района </w:t>
      </w:r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 бюджетных инвестиций;</w:t>
      </w:r>
    </w:p>
    <w:p w:rsidR="00417919" w:rsidRPr="00222593" w:rsidRDefault="00417919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обязанность дочернего общества обеспечить выполнение работ, указанных в </w:t>
      </w:r>
      <w:hyperlink w:anchor="P85" w:history="1">
        <w:r w:rsidRPr="0022259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"в" пункта </w:t>
        </w:r>
      </w:hyperlink>
      <w:r w:rsidR="00222593"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5D61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требований</w:t>
      </w:r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и приобретение земельных участков под строительство (в случае необходимости) без использования на эти цели полученных средств, отраженных на лицевом счете, указанном в </w:t>
      </w:r>
      <w:hyperlink w:anchor="P108" w:history="1">
        <w:r w:rsidRPr="0022259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"ж" пункта </w:t>
        </w:r>
      </w:hyperlink>
      <w:r w:rsidR="00222593"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5D613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требований</w:t>
      </w:r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417919" w:rsidRPr="00222593" w:rsidRDefault="00417919">
      <w:pPr>
        <w:pStyle w:val="ConsPlusNormal"/>
        <w:spacing w:before="28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7" w:name="P122"/>
      <w:bookmarkEnd w:id="17"/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условие о соблюдении дочерним обществом при определении поставщиков (подрядчиков, исполнителей) и исполнении гражданско-правовых договоров, которые полностью либо частично оплачиваются за счет полученных средств, отраженных на лицевом счете, указанном в </w:t>
      </w:r>
      <w:hyperlink w:anchor="P108" w:history="1">
        <w:r w:rsidRPr="00222593">
          <w:rPr>
            <w:rFonts w:ascii="Times New Roman" w:hAnsi="Times New Roman" w:cs="Times New Roman"/>
            <w:color w:val="000000" w:themeColor="text1"/>
            <w:sz w:val="28"/>
            <w:szCs w:val="28"/>
          </w:rPr>
          <w:t xml:space="preserve">подпункте "ж" пункта </w:t>
        </w:r>
      </w:hyperlink>
      <w:r w:rsidR="00222593"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16542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настоящих требований</w:t>
      </w:r>
      <w:r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>, положений, установленных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(в случае реализации инвестиционных проектов по строительству, реконструкции и техническому перевооружению объектов капитального строительства).</w:t>
      </w:r>
    </w:p>
    <w:p w:rsidR="00417919" w:rsidRPr="00222593" w:rsidRDefault="0022259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11</w:t>
      </w:r>
      <w:r w:rsidR="00417919" w:rsidRPr="00222593">
        <w:rPr>
          <w:rFonts w:ascii="Times New Roman" w:hAnsi="Times New Roman" w:cs="Times New Roman"/>
          <w:color w:val="000000" w:themeColor="text1"/>
          <w:sz w:val="28"/>
          <w:szCs w:val="28"/>
        </w:rPr>
        <w:t>. Положения договоров о предоставлении взноса (вклада) должны соответствовать аналогичным положениям договоров о предоставлении бюджетных инвестиций.</w:t>
      </w:r>
    </w:p>
    <w:p w:rsidR="00417919" w:rsidRPr="00222593" w:rsidRDefault="0022259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222593">
        <w:rPr>
          <w:rFonts w:ascii="Times New Roman" w:hAnsi="Times New Roman" w:cs="Times New Roman"/>
          <w:sz w:val="28"/>
          <w:szCs w:val="28"/>
        </w:rPr>
        <w:t>12</w:t>
      </w:r>
      <w:r w:rsidR="00417919" w:rsidRPr="00222593">
        <w:rPr>
          <w:rFonts w:ascii="Times New Roman" w:hAnsi="Times New Roman" w:cs="Times New Roman"/>
          <w:sz w:val="28"/>
          <w:szCs w:val="28"/>
        </w:rPr>
        <w:t xml:space="preserve">. В договор о предоставлении бюджетных инвестиций в дополнение к положениям, установленным настоящим документом, также включаются положения, содержащие условия, определенные иными </w:t>
      </w:r>
      <w:r w:rsidR="00A75CA1" w:rsidRPr="00222593">
        <w:rPr>
          <w:rFonts w:ascii="Times New Roman" w:hAnsi="Times New Roman" w:cs="Times New Roman"/>
          <w:sz w:val="28"/>
          <w:szCs w:val="28"/>
        </w:rPr>
        <w:t>нормативными правовыми актами Администрации Невельского района</w:t>
      </w:r>
      <w:r w:rsidR="00417919" w:rsidRPr="00222593">
        <w:rPr>
          <w:rFonts w:ascii="Times New Roman" w:hAnsi="Times New Roman" w:cs="Times New Roman"/>
          <w:sz w:val="28"/>
          <w:szCs w:val="28"/>
        </w:rPr>
        <w:t>.</w:t>
      </w:r>
    </w:p>
    <w:p w:rsidR="00417919" w:rsidRDefault="00417919">
      <w:pPr>
        <w:pStyle w:val="ConsPlusNormal"/>
        <w:jc w:val="both"/>
      </w:pPr>
    </w:p>
    <w:p w:rsidR="00417919" w:rsidRDefault="00417919">
      <w:pPr>
        <w:pStyle w:val="ConsPlusNormal"/>
        <w:jc w:val="both"/>
      </w:pPr>
    </w:p>
    <w:p w:rsidR="00417919" w:rsidRDefault="00417919">
      <w:pPr>
        <w:pStyle w:val="ConsPlusNormal"/>
        <w:jc w:val="both"/>
      </w:pPr>
    </w:p>
    <w:p w:rsidR="00417919" w:rsidRDefault="00417919">
      <w:pPr>
        <w:pStyle w:val="ConsPlusNormal"/>
        <w:jc w:val="both"/>
      </w:pPr>
    </w:p>
    <w:p w:rsidR="00607033" w:rsidRDefault="00607033"/>
    <w:sectPr w:rsidR="00607033" w:rsidSect="003E7BD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2D7586"/>
    <w:multiLevelType w:val="hybridMultilevel"/>
    <w:tmpl w:val="5E08E6E6"/>
    <w:lvl w:ilvl="0" w:tplc="F306AC1C">
      <w:start w:val="1"/>
      <w:numFmt w:val="decimal"/>
      <w:lvlText w:val="%1."/>
      <w:lvlJc w:val="left"/>
      <w:pPr>
        <w:ind w:left="1410" w:hanging="8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7919"/>
    <w:rsid w:val="00083E0E"/>
    <w:rsid w:val="0010192E"/>
    <w:rsid w:val="001302A9"/>
    <w:rsid w:val="00165427"/>
    <w:rsid w:val="00222593"/>
    <w:rsid w:val="002F29BA"/>
    <w:rsid w:val="003C10FA"/>
    <w:rsid w:val="003D74C2"/>
    <w:rsid w:val="00417919"/>
    <w:rsid w:val="0049586D"/>
    <w:rsid w:val="005D613B"/>
    <w:rsid w:val="00607033"/>
    <w:rsid w:val="00664948"/>
    <w:rsid w:val="00700184"/>
    <w:rsid w:val="00770A6A"/>
    <w:rsid w:val="007E7F6D"/>
    <w:rsid w:val="00877FEA"/>
    <w:rsid w:val="009307E6"/>
    <w:rsid w:val="009A59E3"/>
    <w:rsid w:val="00A01635"/>
    <w:rsid w:val="00A75CA1"/>
    <w:rsid w:val="00B33191"/>
    <w:rsid w:val="00B5535E"/>
    <w:rsid w:val="00BF52CD"/>
    <w:rsid w:val="00CD2FF6"/>
    <w:rsid w:val="00D53EA4"/>
    <w:rsid w:val="00DB42E7"/>
    <w:rsid w:val="00DF5A71"/>
    <w:rsid w:val="00E87589"/>
    <w:rsid w:val="00EA512A"/>
    <w:rsid w:val="00FB75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DB46638-0E78-483F-B5F3-89FF5E56DC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94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17919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417919"/>
    <w:pPr>
      <w:widowControl w:val="0"/>
      <w:autoSpaceDE w:val="0"/>
      <w:autoSpaceDN w:val="0"/>
      <w:ind w:firstLine="0"/>
      <w:jc w:val="left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417919"/>
    <w:pPr>
      <w:widowControl w:val="0"/>
      <w:autoSpaceDE w:val="0"/>
      <w:autoSpaceDN w:val="0"/>
      <w:ind w:firstLine="0"/>
      <w:jc w:val="left"/>
    </w:pPr>
    <w:rPr>
      <w:rFonts w:ascii="Tahoma" w:eastAsia="Times New Roman" w:hAnsi="Tahoma" w:cs="Tahoma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66494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6494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2124E0139EE127D8E49A90BD718542F62BEE90F07FBFA9CB66392C954785C87323F8A7EB734B2A4930DE4A695F51CFAEF663E0FDBF3D70FD22w6K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9</Pages>
  <Words>2961</Words>
  <Characters>16878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2019-02-26T07:45:00Z</cp:lastPrinted>
  <dcterms:created xsi:type="dcterms:W3CDTF">2018-12-03T10:48:00Z</dcterms:created>
  <dcterms:modified xsi:type="dcterms:W3CDTF">2019-02-26T07:48:00Z</dcterms:modified>
</cp:coreProperties>
</file>