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03.07.2023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  <w:u w:val="single"/>
        </w:rPr>
        <w:t>348</w:t>
      </w:r>
    </w:p>
    <w:p>
      <w:pPr>
        <w:pStyle w:val="Normal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</w:t>
      </w:r>
      <w:r>
        <w:rPr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9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8"/>
        <w:gridCol w:w="1512"/>
        <w:gridCol w:w="925"/>
        <w:gridCol w:w="850"/>
        <w:gridCol w:w="989"/>
        <w:gridCol w:w="850"/>
        <w:gridCol w:w="992"/>
        <w:gridCol w:w="993"/>
        <w:gridCol w:w="1061"/>
      </w:tblGrid>
      <w:tr>
        <w:trPr>
          <w:trHeight w:val="375" w:hRule="atLeast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 год</w:t>
            </w:r>
          </w:p>
        </w:tc>
      </w:tr>
      <w:tr>
        <w:trPr>
          <w:trHeight w:val="597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34980,20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1540,00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32310,30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1129,90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5297,32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131,52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1846,40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719,40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50,00</w:t>
            </w:r>
          </w:p>
        </w:tc>
      </w:tr>
      <w:tr>
        <w:trPr>
          <w:trHeight w:val="660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296257,48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46 636,05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49 048,43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49575,30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52768,70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49275,00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48954,00</w:t>
            </w:r>
          </w:p>
        </w:tc>
      </w:tr>
      <w:tr>
        <w:trPr>
          <w:trHeight w:val="660" w:hRule="atLeast"/>
        </w:trPr>
        <w:tc>
          <w:tcPr>
            <w:tcW w:w="1818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700,00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700,00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 источники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12598,00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2 117,00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2695,00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1800,00</w:t>
            </w:r>
          </w:p>
        </w:tc>
      </w:tr>
      <w:tr>
        <w:trPr>
          <w:trHeight w:val="449" w:hRule="atLeast"/>
        </w:trPr>
        <w:tc>
          <w:tcPr>
            <w:tcW w:w="1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349 833,00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50 424,57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85355,13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54111,30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58 013,00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51125,00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50804,00»</w:t>
            </w:r>
          </w:p>
        </w:tc>
      </w:tr>
    </w:tbl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программы на 2020-2030 годы составит 349 833,00 тыс. руб., в том числе:</w:t>
      </w:r>
    </w:p>
    <w:p>
      <w:pPr>
        <w:pStyle w:val="ListParagraph"/>
        <w:ind w:left="709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85 355,13 тыс. руб.;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54 111,30 тыс. руб.;</w:t>
      </w:r>
    </w:p>
    <w:p>
      <w:pPr>
        <w:pStyle w:val="ListParagraph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58 013,00 тыс. руб.;</w:t>
      </w:r>
    </w:p>
    <w:p>
      <w:pPr>
        <w:pStyle w:val="ListParagraph"/>
        <w:ind w:left="709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51 125,00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50 804,00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158" w:type="dxa"/>
        <w:jc w:val="left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42"/>
        <w:gridCol w:w="1365"/>
        <w:gridCol w:w="1000"/>
        <w:gridCol w:w="988"/>
        <w:gridCol w:w="996"/>
        <w:gridCol w:w="989"/>
        <w:gridCol w:w="1021"/>
        <w:gridCol w:w="963"/>
        <w:gridCol w:w="993"/>
      </w:tblGrid>
      <w:tr>
        <w:trPr>
          <w:trHeight w:val="784" w:hRule="atLeast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34980,20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1540,00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32310,30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1129,90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958,32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12,52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326,40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619,40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239233,28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38352,45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39885,0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41764,30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12598,00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2 117,00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2 150,00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2036,00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2695,00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1800,00</w:t>
            </w:r>
          </w:p>
        </w:tc>
      </w:tr>
      <w:tr>
        <w:trPr>
          <w:trHeight w:val="649" w:hRule="atLeast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288 469,80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42 021,97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41921,00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46 908,6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41787,00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41466,00</w:t>
            </w:r>
          </w:p>
        </w:tc>
      </w:tr>
    </w:tbl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0" w:name="_GoBack2"/>
      <w:bookmarkEnd w:id="0"/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288 469,80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74 365,23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41 921,00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46 908,6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41 787,00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41 466,00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. Приложение № 3 к муниципальной программе «Развитие культуры в муниципальном образовании «Невельский район» изложить в новой редакции согласно приложению № 1 к настоящему постановлению.  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>. Приложение № 4 к муниципальной программе «Развитие культуры в муниципальном образовании «Невельский район» изложить в новой редакции согласно приложению № 2 к настоящему постановлению.</w:t>
      </w:r>
    </w:p>
    <w:p>
      <w:pPr>
        <w:pStyle w:val="ListParagraph"/>
        <w:ind w:lef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right="-284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района В.А. Храбрую.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И.о. Главы Невельского района                                                    </w:t>
      </w:r>
      <w:bookmarkStart w:id="1" w:name="_GoBack"/>
      <w:bookmarkEnd w:id="1"/>
      <w:r>
        <w:rPr>
          <w:rFonts w:cs="Times New Roman" w:ascii="Times New Roman" w:hAnsi="Times New Roman"/>
          <w:sz w:val="28"/>
          <w:szCs w:val="28"/>
        </w:rPr>
        <w:t xml:space="preserve">   В.А. Храбрая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Верно: Титова Н.Н.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9011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938"/>
    <w:pPr>
      <w:widowControl/>
      <w:suppressAutoHyphens w:val="tru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eastAsia="hi-I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Application>LibreOffice/7.1.2.2$Windows_X86_64 LibreOffice_project/8a45595d069ef5570103caea1b71cc9d82b2aae4</Application>
  <AppVersion>15.0000</AppVersion>
  <Pages>4</Pages>
  <Words>650</Words>
  <Characters>4104</Characters>
  <CharactersWithSpaces>4669</CharactersWithSpaces>
  <Paragraphs>178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2023-04-18T05:25:00Z</dcterms:created>
  <dc:creator>user</dc:creator>
  <dc:description/>
  <dc:language>ru-RU</dc:language>
  <cp:lastModifiedBy/>
  <cp:lastPrinted>2023-05-22T15:33:00Z</cp:lastPrinted>
  <dcterms:modified xsi:type="dcterms:W3CDTF">2023-07-04T09:31:51Z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