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FF7" w:rsidRDefault="00122A4A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FF7" w:rsidRDefault="007C2FF7">
      <w:pPr>
        <w:jc w:val="center"/>
        <w:rPr>
          <w:rFonts w:ascii="Times New Roman" w:hAnsi="Times New Roman" w:cs="Times New Roman"/>
        </w:rPr>
      </w:pPr>
    </w:p>
    <w:p w:rsidR="007C2FF7" w:rsidRDefault="00122A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7C2FF7" w:rsidRDefault="007C2FF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C2FF7" w:rsidRDefault="00122A4A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7C2FF7" w:rsidRDefault="007C2F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FF7" w:rsidRDefault="00122A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15.11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761</w:t>
      </w:r>
    </w:p>
    <w:p w:rsidR="007C2FF7" w:rsidRDefault="00122A4A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</w:rPr>
        <w:t>г. Невель</w:t>
      </w:r>
    </w:p>
    <w:p w:rsidR="007C2FF7" w:rsidRDefault="007C2FF7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7C2FF7" w:rsidRDefault="00122A4A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7C2FF7" w:rsidRDefault="007C2FF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C2FF7" w:rsidRDefault="00122A4A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</w:t>
      </w:r>
      <w:r>
        <w:rPr>
          <w:rFonts w:ascii="Times New Roman" w:hAnsi="Times New Roman" w:cs="Times New Roman"/>
          <w:sz w:val="28"/>
          <w:szCs w:val="28"/>
        </w:rPr>
        <w:t>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«Невельский район»:</w:t>
      </w:r>
    </w:p>
    <w:p w:rsidR="007C2FF7" w:rsidRDefault="00122A4A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7C2FF7" w:rsidRDefault="00122A4A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7C2FF7" w:rsidRDefault="007C2FF7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91" w:type="dxa"/>
        <w:tblInd w:w="109" w:type="dxa"/>
        <w:tblLayout w:type="fixed"/>
        <w:tblLook w:val="0000"/>
      </w:tblPr>
      <w:tblGrid>
        <w:gridCol w:w="1815"/>
        <w:gridCol w:w="1609"/>
        <w:gridCol w:w="1053"/>
        <w:gridCol w:w="833"/>
        <w:gridCol w:w="951"/>
        <w:gridCol w:w="933"/>
        <w:gridCol w:w="1027"/>
        <w:gridCol w:w="993"/>
        <w:gridCol w:w="777"/>
      </w:tblGrid>
      <w:tr w:rsidR="007C2FF7">
        <w:trPr>
          <w:trHeight w:val="375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FF7" w:rsidRDefault="00122A4A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2025-2030 </w:t>
            </w: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7C2FF7">
        <w:trPr>
          <w:trHeight w:val="597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33 850,3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32 310,3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33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1977,92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131,52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1846,40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660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235981,48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46 636,05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48538,43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47183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47183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46441,00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345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8377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</w:t>
            </w:r>
            <w:r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44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280186,70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50 424,57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84845,13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48553,00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48553,</w:t>
            </w:r>
            <w:r>
              <w:rPr>
                <w:rFonts w:ascii="Times New Roman" w:hAnsi="Times New Roman" w:cs="Times New Roman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47811,00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 w:rsidR="007C2FF7" w:rsidRDefault="007C2FF7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7C2FF7" w:rsidRDefault="00122A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В разделе 5 муниципальной программы «Ресурсное обеспечение Программы» второй абзац 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C2FF7" w:rsidRDefault="00122A4A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  <w:r w:rsidRPr="00122A4A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186,70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7C2FF7" w:rsidRDefault="00122A4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7C2FF7" w:rsidRDefault="00122A4A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 xml:space="preserve">84 845,13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7C2FF7" w:rsidRDefault="00122A4A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48 553,0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C2FF7" w:rsidRDefault="00122A4A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48 553,0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C2FF7" w:rsidRDefault="00122A4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47 811,00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C2FF7" w:rsidRDefault="00122A4A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7C2FF7" w:rsidRDefault="007C2FF7">
      <w:pPr>
        <w:pStyle w:val="aa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2FF7" w:rsidRDefault="00122A4A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22A4A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7C2FF7" w:rsidRDefault="007C2FF7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0"/>
        <w:gridCol w:w="1681"/>
        <w:gridCol w:w="975"/>
        <w:gridCol w:w="1080"/>
        <w:gridCol w:w="936"/>
        <w:gridCol w:w="1047"/>
        <w:gridCol w:w="897"/>
        <w:gridCol w:w="905"/>
        <w:gridCol w:w="654"/>
      </w:tblGrid>
      <w:tr w:rsidR="007C2FF7">
        <w:trPr>
          <w:trHeight w:val="600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2020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2021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2022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2023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2024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2025-2030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годы</w:t>
            </w:r>
          </w:p>
        </w:tc>
      </w:tr>
      <w:tr w:rsidR="007C2FF7">
        <w:trPr>
          <w:trHeight w:val="46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33850,3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32310,3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354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338,92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12,52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326,4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248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228453,58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38352,45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39149,13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37919,00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37919,00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37557,00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30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</w:t>
            </w:r>
          </w:p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8377,00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2 150,00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1370,0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649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по</w:t>
            </w:r>
            <w:proofErr w:type="gramEnd"/>
          </w:p>
          <w:p w:rsidR="007C2FF7" w:rsidRDefault="00122A4A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источникам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233462,80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42 021,97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73935,83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F7" w:rsidRDefault="00122A4A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39289,00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39289,00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38927,00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7C2FF7" w:rsidRDefault="00122A4A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7C2FF7" w:rsidRDefault="007C2FF7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2FF7" w:rsidRDefault="00122A4A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2A4A">
        <w:rPr>
          <w:rFonts w:ascii="Times New Roman" w:hAnsi="Times New Roman" w:cs="Times New Roman"/>
          <w:sz w:val="28"/>
          <w:szCs w:val="28"/>
        </w:rPr>
        <w:t>1.4</w:t>
      </w:r>
      <w:r>
        <w:rPr>
          <w:rFonts w:ascii="Times New Roman" w:hAnsi="Times New Roman" w:cs="Times New Roman"/>
          <w:sz w:val="28"/>
          <w:szCs w:val="28"/>
        </w:rPr>
        <w:t xml:space="preserve">. В разделе 4 «Ресурсное </w:t>
      </w:r>
      <w:r>
        <w:rPr>
          <w:rFonts w:ascii="Times New Roman" w:hAnsi="Times New Roman" w:cs="Times New Roman"/>
          <w:sz w:val="28"/>
          <w:szCs w:val="28"/>
        </w:rPr>
        <w:t>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7C2FF7" w:rsidRDefault="00122A4A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233 462,80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7C2FF7" w:rsidRDefault="00122A4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</w:t>
      </w:r>
      <w:r>
        <w:rPr>
          <w:rFonts w:ascii="Times New Roman" w:hAnsi="Times New Roman" w:cs="Times New Roman"/>
          <w:color w:val="1B1B1B"/>
          <w:sz w:val="28"/>
          <w:szCs w:val="28"/>
        </w:rPr>
        <w:t>.;</w:t>
      </w:r>
    </w:p>
    <w:p w:rsidR="007C2FF7" w:rsidRDefault="00122A4A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 w:rsidRPr="00122A4A">
        <w:rPr>
          <w:rFonts w:ascii="Times New Roman" w:hAnsi="Times New Roman" w:cs="Times New Roman"/>
          <w:sz w:val="28"/>
          <w:szCs w:val="28"/>
        </w:rPr>
        <w:t>73 935,83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7C2FF7" w:rsidRDefault="00122A4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39 289,00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7C2FF7" w:rsidRDefault="00122A4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39289,00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7C2FF7" w:rsidRDefault="00122A4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38927,00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7C2FF7" w:rsidRDefault="00122A4A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7C2FF7" w:rsidRDefault="007C2FF7">
      <w:pPr>
        <w:pStyle w:val="aa"/>
        <w:ind w:left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</w:p>
    <w:p w:rsidR="007C2FF7" w:rsidRDefault="00122A4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паспорте 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Дополнительное образование в сфере культуры и </w:t>
      </w:r>
      <w:r>
        <w:rPr>
          <w:rFonts w:ascii="Times New Roman" w:hAnsi="Times New Roman" w:cs="Times New Roman"/>
          <w:sz w:val="28"/>
          <w:szCs w:val="28"/>
        </w:rPr>
        <w:t>искусства</w:t>
      </w:r>
      <w:r>
        <w:rPr>
          <w:rFonts w:ascii="Times New Roman" w:hAnsi="Times New Roman" w:cs="Times New Roman"/>
          <w:sz w:val="28"/>
          <w:szCs w:val="28"/>
        </w:rPr>
        <w:t>» строку «Основные мероприятия, входящие в состав подпрограммы» изложить в новой редакции следующего содержания:</w:t>
      </w:r>
    </w:p>
    <w:p w:rsidR="007C2FF7" w:rsidRDefault="007C2FF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F7" w:rsidRDefault="007C2FF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10138" w:type="dxa"/>
        <w:tblLayout w:type="fixed"/>
        <w:tblLook w:val="04A0"/>
      </w:tblPr>
      <w:tblGrid>
        <w:gridCol w:w="2943"/>
        <w:gridCol w:w="7195"/>
      </w:tblGrid>
      <w:tr w:rsidR="007C2FF7">
        <w:tc>
          <w:tcPr>
            <w:tcW w:w="2943" w:type="dxa"/>
          </w:tcPr>
          <w:p w:rsidR="007C2FF7" w:rsidRDefault="00122A4A">
            <w:pPr>
              <w:pStyle w:val="aa"/>
              <w:widowControl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«Основные мероприятия, входящие в состав подпрограммы</w:t>
            </w:r>
          </w:p>
        </w:tc>
        <w:tc>
          <w:tcPr>
            <w:tcW w:w="7194" w:type="dxa"/>
          </w:tcPr>
          <w:p w:rsidR="007C2FF7" w:rsidRDefault="00122A4A">
            <w:pPr>
              <w:widowControl w:val="0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 в сфере культуры и искусства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C2FF7" w:rsidRDefault="00122A4A">
            <w:pPr>
              <w:pStyle w:val="aa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мод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ернизация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реконструкция, капитальный и текущий ремонт, приобретения оборудования сети учреждений культуры и учреждений дополнительного образования детей в сфере культуры области, изготовление проектно-сметной документации и проведение инженерных изыскани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й»</w:t>
            </w:r>
          </w:p>
          <w:p w:rsidR="007C2FF7" w:rsidRDefault="007C2FF7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2FF7" w:rsidRDefault="007C2FF7">
      <w:pPr>
        <w:pStyle w:val="aa"/>
        <w:tabs>
          <w:tab w:val="left" w:pos="83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FF7" w:rsidRDefault="00122A4A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В паспорте подпрограммы «Дополнительное образование в сфере культуры и искусства»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:rsidR="007C2FF7" w:rsidRDefault="007C2FF7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0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2"/>
        <w:gridCol w:w="1773"/>
        <w:gridCol w:w="1108"/>
        <w:gridCol w:w="965"/>
        <w:gridCol w:w="959"/>
        <w:gridCol w:w="946"/>
        <w:gridCol w:w="956"/>
        <w:gridCol w:w="942"/>
        <w:gridCol w:w="950"/>
      </w:tblGrid>
      <w:tr w:rsidR="007C2FF7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napToGrid w:val="0"/>
              <w:spacing w:before="60" w:line="216" w:lineRule="auto"/>
              <w:ind w:left="10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«Объемы и источники </w:t>
            </w:r>
            <w:r>
              <w:rPr>
                <w:rFonts w:ascii="Times New Roman" w:eastAsia="Times New Roman" w:hAnsi="Times New Roman" w:cs="Times New Roman"/>
                <w:sz w:val="24"/>
              </w:rPr>
              <w:t>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</w:t>
            </w:r>
          </w:p>
          <w:p w:rsidR="007C2FF7" w:rsidRDefault="00122A4A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7C2FF7">
        <w:trPr>
          <w:trHeight w:val="46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354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1639,00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119,00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1 520</w:t>
            </w:r>
            <w:r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248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45084,90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8 283,6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9389,3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</w:t>
            </w:r>
            <w:r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8 884,00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30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7C2FF7">
        <w:trPr>
          <w:trHeight w:val="649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7C2FF7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46 723,90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8 402,6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10 909,30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</w:t>
            </w:r>
            <w:r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9 264</w:t>
            </w:r>
            <w:r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8 884,00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F7" w:rsidRDefault="00122A4A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7C2FF7" w:rsidRDefault="007C2FF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F7" w:rsidRDefault="007C2FF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F7" w:rsidRDefault="00122A4A">
      <w:pPr>
        <w:pStyle w:val="aa"/>
        <w:ind w:left="0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1.7. 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7C2FF7" w:rsidRDefault="00122A4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723,90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7C2FF7" w:rsidRDefault="00122A4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8 402,6 тыс. руб.;</w:t>
      </w:r>
    </w:p>
    <w:p w:rsidR="007C2FF7" w:rsidRDefault="00122A4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>10 909,30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7C2FF7" w:rsidRDefault="00122A4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9 264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7C2FF7" w:rsidRDefault="00122A4A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9 264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7C2FF7" w:rsidRDefault="00122A4A">
      <w:pPr>
        <w:pStyle w:val="aa"/>
        <w:ind w:left="426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8 884</w:t>
      </w:r>
      <w:r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7C2FF7" w:rsidRDefault="00122A4A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7C2FF7" w:rsidRDefault="00122A4A">
      <w:pPr>
        <w:pStyle w:val="aa"/>
        <w:ind w:left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1.8. Приложение № 3 к муниципальной программе «Развитие культуры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 xml:space="preserve">«Невельский район» 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7C2FF7" w:rsidRDefault="00122A4A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C2FF7" w:rsidRDefault="00122A4A">
      <w:pPr>
        <w:tabs>
          <w:tab w:val="left" w:pos="142"/>
          <w:tab w:val="left" w:pos="284"/>
        </w:tabs>
        <w:suppressAutoHyphens w:val="0"/>
        <w:ind w:firstLine="851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официального опубликования в газете «Невельский вестник», подлежит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размещ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нию в информационно-телекоммуникационной сети «Интернет» в сетевом изд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нии «Нормативные правовые акты Псковской области» - </w:t>
      </w:r>
      <w:hyperlink r:id="rId7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8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9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10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1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2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3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4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 официальном сайте Невельского района.</w:t>
      </w:r>
    </w:p>
    <w:p w:rsidR="007C2FF7" w:rsidRDefault="00122A4A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FF7" w:rsidRDefault="00122A4A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C2FF7" w:rsidRDefault="007C2FF7">
      <w:pPr>
        <w:spacing w:line="276" w:lineRule="auto"/>
        <w:rPr>
          <w:rFonts w:ascii="Times New Roman" w:hAnsi="Times New Roman" w:cs="Times New Roman"/>
          <w:sz w:val="24"/>
        </w:rPr>
      </w:pPr>
    </w:p>
    <w:p w:rsidR="007C2FF7" w:rsidRDefault="007C2FF7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7C2FF7" w:rsidRDefault="007C2FF7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7C2FF7" w:rsidRDefault="00122A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О.Е. Майоров</w:t>
      </w: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Быстрова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М.В.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Правовое </w:t>
      </w:r>
      <w:r>
        <w:rPr>
          <w:rFonts w:ascii="Times New Roman" w:hAnsi="Times New Roman" w:cs="Times New Roman"/>
          <w:sz w:val="22"/>
          <w:szCs w:val="22"/>
        </w:rPr>
        <w:t>управление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7C2FF7" w:rsidRDefault="007C2FF7">
      <w:pPr>
        <w:rPr>
          <w:rFonts w:ascii="Times New Roman" w:hAnsi="Times New Roman" w:cs="Times New Roman"/>
          <w:sz w:val="22"/>
          <w:szCs w:val="22"/>
        </w:rPr>
      </w:pP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7C2FF7" w:rsidRDefault="007C2FF7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7C2FF7" w:rsidRDefault="00122A4A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7C2FF7" w:rsidRDefault="00122A4A">
      <w:r>
        <w:rPr>
          <w:rFonts w:ascii="Times New Roman" w:hAnsi="Times New Roman" w:cs="Times New Roman"/>
          <w:sz w:val="22"/>
          <w:szCs w:val="22"/>
        </w:rPr>
        <w:t>Тел.: (8115</w:t>
      </w:r>
      <w:r>
        <w:rPr>
          <w:rFonts w:ascii="Times New Roman" w:hAnsi="Times New Roman" w:cs="Times New Roman"/>
          <w:sz w:val="22"/>
          <w:szCs w:val="22"/>
        </w:rPr>
        <w:t>1) 2-32-26</w:t>
      </w:r>
    </w:p>
    <w:sectPr w:rsidR="007C2FF7" w:rsidSect="007C2FF7">
      <w:pgSz w:w="11906" w:h="16838"/>
      <w:pgMar w:top="993" w:right="566" w:bottom="993" w:left="1418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18F5"/>
    <w:multiLevelType w:val="multilevel"/>
    <w:tmpl w:val="07DAA0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69528C0"/>
    <w:multiLevelType w:val="multilevel"/>
    <w:tmpl w:val="F19A3C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7C2FF7"/>
    <w:rsid w:val="00122A4A"/>
    <w:rsid w:val="007C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EF"/>
    <w:pPr>
      <w:overflowPunct w:val="0"/>
    </w:pPr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customStyle="1" w:styleId="Caption">
    <w:name w:val="Caption"/>
    <w:basedOn w:val="a"/>
    <w:qFormat/>
    <w:rsid w:val="007C2FF7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80537AADA7DDC260F833399715DC8E2121C44DB27827A87DC364EDD33851F9Z1I0I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pravo.psk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pskov.ru/" TargetMode="External"/><Relationship Id="rId14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4</Pages>
  <Words>988</Words>
  <Characters>5637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42</cp:revision>
  <cp:lastPrinted>2021-11-15T14:05:00Z</cp:lastPrinted>
  <dcterms:created xsi:type="dcterms:W3CDTF">2021-01-17T12:56:00Z</dcterms:created>
  <dcterms:modified xsi:type="dcterms:W3CDTF">2021-11-16T12:48:00Z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