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6E" w:rsidRDefault="0093357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46E" w:rsidRDefault="003C646E">
      <w:pPr>
        <w:jc w:val="center"/>
        <w:rPr>
          <w:rFonts w:ascii="Times New Roman" w:hAnsi="Times New Roman" w:cs="Times New Roman"/>
        </w:rPr>
      </w:pPr>
    </w:p>
    <w:p w:rsidR="003C646E" w:rsidRDefault="009335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3C646E" w:rsidRDefault="003C64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C646E" w:rsidRDefault="0093357A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3C646E" w:rsidRDefault="003C64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646E" w:rsidRPr="00537065" w:rsidRDefault="005370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7065">
        <w:rPr>
          <w:rFonts w:ascii="Times New Roman" w:hAnsi="Times New Roman" w:cs="Times New Roman"/>
          <w:color w:val="000000"/>
          <w:sz w:val="28"/>
          <w:szCs w:val="28"/>
          <w:u w:val="single"/>
        </w:rPr>
        <w:t>от 15</w:t>
      </w:r>
      <w:r w:rsidRPr="00537065">
        <w:rPr>
          <w:rFonts w:ascii="Times New Roman" w:hAnsi="Times New Roman" w:cs="Times New Roman"/>
          <w:sz w:val="28"/>
          <w:szCs w:val="28"/>
          <w:u w:val="single"/>
        </w:rPr>
        <w:t>.12.2021</w:t>
      </w:r>
      <w:r w:rsidR="0093357A" w:rsidRPr="00537065">
        <w:rPr>
          <w:rFonts w:ascii="Times New Roman" w:hAnsi="Times New Roman" w:cs="Times New Roman"/>
          <w:sz w:val="28"/>
          <w:szCs w:val="28"/>
        </w:rPr>
        <w:t xml:space="preserve"> </w:t>
      </w:r>
      <w:r w:rsidR="0093357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858</w:t>
      </w:r>
    </w:p>
    <w:p w:rsidR="003C646E" w:rsidRDefault="0093357A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06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4"/>
        </w:rPr>
        <w:t>г. Невель</w:t>
      </w:r>
    </w:p>
    <w:p w:rsidR="003C646E" w:rsidRDefault="003C646E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3C646E" w:rsidRDefault="0093357A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3C646E" w:rsidRDefault="003C646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C646E" w:rsidRDefault="0093357A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 w:rsidR="003C646E" w:rsidRDefault="0093357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3C646E" w:rsidRDefault="0093357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3C646E" w:rsidRDefault="003C646E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91" w:type="dxa"/>
        <w:tblInd w:w="109" w:type="dxa"/>
        <w:tblLayout w:type="fixed"/>
        <w:tblLook w:val="0000"/>
      </w:tblPr>
      <w:tblGrid>
        <w:gridCol w:w="1815"/>
        <w:gridCol w:w="1527"/>
        <w:gridCol w:w="1024"/>
        <w:gridCol w:w="900"/>
        <w:gridCol w:w="1035"/>
        <w:gridCol w:w="900"/>
        <w:gridCol w:w="1020"/>
        <w:gridCol w:w="993"/>
        <w:gridCol w:w="777"/>
      </w:tblGrid>
      <w:tr w:rsidR="003C646E">
        <w:trPr>
          <w:trHeight w:val="375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6E" w:rsidRDefault="0093357A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 годы</w:t>
            </w:r>
          </w:p>
        </w:tc>
      </w:tr>
      <w:tr w:rsidR="003C646E">
        <w:trPr>
          <w:trHeight w:val="597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33 850,30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3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1977,92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131,52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1846,40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660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236 491,48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46 636,05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49 048,43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47183,00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47183,00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46441,00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45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8377,00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44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280 696,70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50 424,57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85355,13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48553,00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48553,00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47811,00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 w:rsidR="003C646E" w:rsidRDefault="003C646E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3C646E" w:rsidRDefault="009335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 w:rsidR="003C646E" w:rsidRDefault="0093357A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 w:rsidRPr="0093357A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>696,70 тыс. руб., в том числе: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C646E" w:rsidRDefault="0093357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3C646E" w:rsidRDefault="0093357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48 553,00 тыс. руб.;</w:t>
      </w:r>
    </w:p>
    <w:p w:rsidR="003C646E" w:rsidRDefault="0093357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48 553,00 тыс. руб.;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47 811,00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3C646E" w:rsidRDefault="0093357A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3C646E" w:rsidRDefault="003C646E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646E" w:rsidRDefault="0093357A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357A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3C646E" w:rsidRDefault="003C646E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681"/>
        <w:gridCol w:w="975"/>
        <w:gridCol w:w="1080"/>
        <w:gridCol w:w="936"/>
        <w:gridCol w:w="1054"/>
        <w:gridCol w:w="890"/>
        <w:gridCol w:w="905"/>
        <w:gridCol w:w="654"/>
      </w:tblGrid>
      <w:tr w:rsidR="003C646E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3C646E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33850,30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32310,30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326,40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228882,98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39578,53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37919,00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37919,00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37557,00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</w:t>
            </w:r>
          </w:p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8377,00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по</w:t>
            </w:r>
            <w:proofErr w:type="gramEnd"/>
          </w:p>
          <w:p w:rsidR="003C646E" w:rsidRDefault="0093357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источникам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233 892,20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74 365,23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46E" w:rsidRDefault="0093357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39289,00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39289,00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38927,00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3C646E" w:rsidRDefault="0093357A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3C646E" w:rsidRDefault="003C646E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646E" w:rsidRDefault="0093357A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357A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>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3C646E" w:rsidRDefault="0093357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233 892,2 тыс. руб., в том числе: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C646E" w:rsidRDefault="0093357A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Pr="0093357A">
        <w:rPr>
          <w:rFonts w:ascii="Times New Roman" w:hAnsi="Times New Roman" w:cs="Times New Roman"/>
          <w:sz w:val="28"/>
          <w:szCs w:val="28"/>
        </w:rPr>
        <w:t>74 365,23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39 289,00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39289,00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38927,00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C646E" w:rsidRDefault="0093357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3C646E" w:rsidRDefault="003C646E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</w:p>
    <w:p w:rsidR="0093357A" w:rsidRDefault="0093357A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</w:p>
    <w:p w:rsidR="0093357A" w:rsidRDefault="0093357A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</w:p>
    <w:p w:rsidR="003C646E" w:rsidRDefault="003C646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646E" w:rsidRDefault="0093357A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1.5.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3C646E" w:rsidRDefault="003C646E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2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 w:rsidR="003C646E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napToGrid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3C646E" w:rsidRDefault="0093357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3C646E">
        <w:trPr>
          <w:trHeight w:val="46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54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1639,00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1 520,00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248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45 165,50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8 283,60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9 469,90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30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3C646E">
        <w:trPr>
          <w:trHeight w:val="649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3C646E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46 804,50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8 402,60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10 989,90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6E" w:rsidRDefault="0093357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3C646E" w:rsidRDefault="003C646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646E" w:rsidRDefault="0093357A">
      <w:pPr>
        <w:pStyle w:val="aa"/>
        <w:ind w:left="0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1.6. 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3C646E" w:rsidRDefault="0093357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46804,50 тыс. руб., в том числе:</w:t>
      </w:r>
    </w:p>
    <w:p w:rsidR="003C646E" w:rsidRDefault="0093357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8 402,60 тыс. руб.;</w:t>
      </w:r>
    </w:p>
    <w:p w:rsidR="003C646E" w:rsidRDefault="0093357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10 989,90 тыс. руб.;</w:t>
      </w:r>
    </w:p>
    <w:p w:rsidR="003C646E" w:rsidRDefault="0093357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9 264,00 тыс. руб.;</w:t>
      </w:r>
    </w:p>
    <w:p w:rsidR="003C646E" w:rsidRDefault="0093357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9 264,00 тыс. руб.;</w:t>
      </w:r>
    </w:p>
    <w:p w:rsidR="003C646E" w:rsidRDefault="0093357A">
      <w:pPr>
        <w:pStyle w:val="aa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8 884,00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3C646E" w:rsidRDefault="0093357A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3C646E" w:rsidRDefault="0093357A">
      <w:pPr>
        <w:pStyle w:val="aa"/>
        <w:ind w:left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1.7.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 к настоящему постановлению.</w:t>
      </w:r>
    </w:p>
    <w:p w:rsidR="003C646E" w:rsidRDefault="0093357A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C646E" w:rsidRDefault="0093357A">
      <w:pPr>
        <w:tabs>
          <w:tab w:val="left" w:pos="142"/>
          <w:tab w:val="left" w:pos="284"/>
        </w:tabs>
        <w:suppressAutoHyphens w:val="0"/>
        <w:ind w:firstLine="851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 размещ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нию в информационно-телекоммуникационной сети «Интернет» в сетевом изд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нии «Нормативные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8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9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10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1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2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3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4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3C646E" w:rsidRDefault="0093357A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46E" w:rsidRDefault="0093357A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C646E" w:rsidRDefault="003C646E">
      <w:pPr>
        <w:spacing w:line="276" w:lineRule="auto"/>
        <w:rPr>
          <w:rFonts w:ascii="Times New Roman" w:hAnsi="Times New Roman" w:cs="Times New Roman"/>
          <w:sz w:val="24"/>
        </w:rPr>
      </w:pPr>
    </w:p>
    <w:p w:rsidR="003C646E" w:rsidRDefault="003C646E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C646E" w:rsidRDefault="003C646E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C646E" w:rsidRDefault="009335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Быстрова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М.В.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3C646E" w:rsidRDefault="003C646E">
      <w:pPr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3C646E" w:rsidRDefault="003C646E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3C646E" w:rsidRDefault="0093357A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C646E" w:rsidRDefault="0093357A">
      <w:r>
        <w:rPr>
          <w:rFonts w:ascii="Times New Roman" w:hAnsi="Times New Roman" w:cs="Times New Roman"/>
          <w:sz w:val="22"/>
          <w:szCs w:val="22"/>
        </w:rPr>
        <w:t>Тел.: (81151) 2-32-26</w:t>
      </w:r>
    </w:p>
    <w:sectPr w:rsidR="003C646E" w:rsidSect="003C646E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3C646E"/>
    <w:rsid w:val="003A53D1"/>
    <w:rsid w:val="003C646E"/>
    <w:rsid w:val="004B11E5"/>
    <w:rsid w:val="00537065"/>
    <w:rsid w:val="0093357A"/>
    <w:rsid w:val="00D5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EF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customStyle="1" w:styleId="Caption">
    <w:name w:val="Caption"/>
    <w:basedOn w:val="a"/>
    <w:qFormat/>
    <w:rsid w:val="003C646E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A80537AADA7DDC260F833399715DC8E2121C44DB27827A87DC364EDD33851F9Z1I0I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pravo.ps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pskov.ru/" TargetMode="External"/><Relationship Id="rId14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70F52-4ECB-4926-87A4-823CD7C1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908</Words>
  <Characters>5176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50</cp:revision>
  <cp:lastPrinted>2021-11-17T08:10:00Z</cp:lastPrinted>
  <dcterms:created xsi:type="dcterms:W3CDTF">2021-01-17T12:56:00Z</dcterms:created>
  <dcterms:modified xsi:type="dcterms:W3CDTF">2021-12-16T11:42:00Z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