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825" w:rsidRDefault="008A11DF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825" w:rsidRDefault="006B4825">
      <w:pPr>
        <w:jc w:val="center"/>
        <w:rPr>
          <w:rFonts w:ascii="Times New Roman" w:hAnsi="Times New Roman" w:cs="Times New Roman"/>
        </w:rPr>
      </w:pPr>
    </w:p>
    <w:p w:rsidR="006B4825" w:rsidRDefault="008A11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6B4825" w:rsidRDefault="008A11DF">
      <w:pPr>
        <w:jc w:val="center"/>
      </w:pPr>
      <w:r>
        <w:rPr>
          <w:rFonts w:ascii="Times New Roman" w:hAnsi="Times New Roman" w:cs="Times New Roman"/>
          <w:b/>
          <w:sz w:val="32"/>
          <w:szCs w:val="32"/>
        </w:rPr>
        <w:t xml:space="preserve">НЕВЕЛЬСКОГО </w:t>
      </w:r>
      <w:r>
        <w:rPr>
          <w:rFonts w:ascii="Times New Roman" w:hAnsi="Times New Roman" w:cs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B4825" w:rsidRDefault="006B482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B4825" w:rsidRDefault="008A11DF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 xml:space="preserve">П о с </w:t>
      </w:r>
      <w:proofErr w:type="gramStart"/>
      <w:r>
        <w:rPr>
          <w:rFonts w:cs="Times New Roman"/>
          <w:b/>
          <w:sz w:val="36"/>
          <w:szCs w:val="36"/>
          <w:lang w:val="ru-RU"/>
        </w:rPr>
        <w:t>т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а н о в л е н и е</w:t>
      </w:r>
    </w:p>
    <w:p w:rsidR="006B4825" w:rsidRDefault="008A11DF">
      <w:pPr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29.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№48</w:t>
      </w:r>
    </w:p>
    <w:p w:rsidR="006B4825" w:rsidRDefault="008A11DF">
      <w:pPr>
        <w:ind w:left="284" w:firstLine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 Невель</w:t>
      </w:r>
    </w:p>
    <w:p w:rsidR="006B4825" w:rsidRDefault="006B4825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B4825" w:rsidRDefault="008A11DF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культуры в Невельском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округе »</w:t>
      </w:r>
      <w:proofErr w:type="gramEnd"/>
    </w:p>
    <w:p w:rsidR="006B4825" w:rsidRDefault="006B482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B4825" w:rsidRDefault="008A11DF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Псковской области </w:t>
      </w:r>
      <w:r>
        <w:rPr>
          <w:rFonts w:ascii="Times New Roman" w:hAnsi="Times New Roman" w:cs="Times New Roman"/>
          <w:sz w:val="28"/>
          <w:szCs w:val="28"/>
        </w:rPr>
        <w:t>от 02.03.2023 № 2349-ОЗ «О преобразовании муниципальных образований, входящих в состав муниципального образования «Невельский район»</w:t>
      </w:r>
      <w:r>
        <w:rPr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Порядком разработки и реализации муниципальных программ в МО «Невельский район», утвержденным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Невельского района от 26.05.2015 № 447:</w:t>
      </w:r>
    </w:p>
    <w:p w:rsidR="006B4825" w:rsidRDefault="008A11D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Невельском муниципальном округе», утверж</w:t>
      </w:r>
      <w:r>
        <w:rPr>
          <w:rFonts w:ascii="Times New Roman" w:hAnsi="Times New Roman" w:cs="Times New Roman"/>
          <w:sz w:val="28"/>
          <w:szCs w:val="28"/>
        </w:rPr>
        <w:t>денную постановлением Администрации Невельского района от 22.11.2019 № 610, следующие изменения:</w:t>
      </w:r>
    </w:p>
    <w:p w:rsidR="006B4825" w:rsidRDefault="008A11D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6B4825" w:rsidRDefault="006B4825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627"/>
        <w:gridCol w:w="1384"/>
        <w:gridCol w:w="839"/>
        <w:gridCol w:w="768"/>
        <w:gridCol w:w="899"/>
        <w:gridCol w:w="832"/>
        <w:gridCol w:w="914"/>
        <w:gridCol w:w="900"/>
        <w:gridCol w:w="971"/>
        <w:gridCol w:w="901"/>
      </w:tblGrid>
      <w:tr w:rsidR="006B4825">
        <w:trPr>
          <w:trHeight w:val="375"/>
        </w:trPr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</w:t>
            </w:r>
            <w:r>
              <w:rPr>
                <w:rFonts w:ascii="Times New Roman" w:eastAsia="Times New Roman" w:hAnsi="Times New Roman" w:cs="Times New Roman"/>
                <w:sz w:val="24"/>
              </w:rPr>
              <w:t>ики финансирования программы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6B4825">
        <w:trPr>
          <w:trHeight w:val="597"/>
        </w:trPr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36130,20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1 150,00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B4825">
        <w:trPr>
          <w:trHeight w:val="339"/>
        </w:trPr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5919,13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1846,40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</w:tr>
      <w:tr w:rsidR="006B4825">
        <w:trPr>
          <w:trHeight w:val="660"/>
        </w:trPr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  <w:p w:rsidR="006B4825" w:rsidRDefault="006B4825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353183,91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46 636,05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49 048,43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49575,30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51672,10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52876,83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51865,10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51510,10</w:t>
            </w:r>
          </w:p>
        </w:tc>
      </w:tr>
      <w:tr w:rsidR="006B4825">
        <w:trPr>
          <w:trHeight w:val="660"/>
        </w:trPr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B4825">
        <w:trPr>
          <w:trHeight w:val="345"/>
        </w:trPr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16148,00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2 885,00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</w:tr>
      <w:tr w:rsidR="006B4825">
        <w:trPr>
          <w:trHeight w:val="449"/>
        </w:trPr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413081,24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50 424,57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85355,13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54111,30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58291,60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56533,44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54360,10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54005,10</w:t>
            </w:r>
          </w:p>
        </w:tc>
      </w:tr>
    </w:tbl>
    <w:p w:rsidR="006B4825" w:rsidRDefault="006B482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825" w:rsidRDefault="008A11D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разделе 5 муниципальной программы «Ресурсное обеспечение Программы» второй абзац изложить в новой </w:t>
      </w:r>
      <w:r>
        <w:rPr>
          <w:rFonts w:ascii="Times New Roman" w:hAnsi="Times New Roman" w:cs="Times New Roman"/>
          <w:sz w:val="28"/>
          <w:szCs w:val="28"/>
        </w:rPr>
        <w:t>редакции следующего содержания:</w:t>
      </w:r>
    </w:p>
    <w:p w:rsidR="006B4825" w:rsidRDefault="008A11DF">
      <w:pPr>
        <w:pStyle w:val="aa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программы на 2020-2030 годы составит 413 </w:t>
      </w:r>
      <w:r>
        <w:rPr>
          <w:rFonts w:ascii="Times New Roman" w:hAnsi="Times New Roman" w:cs="Times New Roman"/>
          <w:sz w:val="28"/>
          <w:szCs w:val="28"/>
        </w:rPr>
        <w:t>081,24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B4825" w:rsidRDefault="008A11DF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6B4825" w:rsidRDefault="008A11D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85 355,13 тыс. руб.;</w:t>
      </w:r>
    </w:p>
    <w:p w:rsidR="006B4825" w:rsidRDefault="008A11D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54 111,30 тыс. руб.;</w:t>
      </w:r>
    </w:p>
    <w:p w:rsidR="006B4825" w:rsidRDefault="008A11D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58291,60 тыс. руб.;</w:t>
      </w:r>
    </w:p>
    <w:p w:rsidR="006B4825" w:rsidRDefault="008A11DF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56 533,44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B4825" w:rsidRDefault="008A11D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2025 год – 54 360,10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B4825" w:rsidRDefault="008A11D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2026 год – 54 005,10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руб.;».</w:t>
      </w:r>
    </w:p>
    <w:p w:rsidR="006B4825" w:rsidRDefault="008A11DF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паспорте подпрограммы «Развитие культуры» строку «Объемы и источники финансирования подпрограммы муниципальной программы»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tbl>
      <w:tblPr>
        <w:tblW w:w="1015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1318"/>
        <w:gridCol w:w="995"/>
        <w:gridCol w:w="899"/>
        <w:gridCol w:w="908"/>
        <w:gridCol w:w="900"/>
        <w:gridCol w:w="936"/>
        <w:gridCol w:w="872"/>
        <w:gridCol w:w="905"/>
        <w:gridCol w:w="905"/>
      </w:tblGrid>
      <w:tr w:rsidR="006B4825">
        <w:trPr>
          <w:trHeight w:val="784"/>
        </w:trPr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2026</w:t>
            </w:r>
          </w:p>
          <w:p w:rsidR="006B4825" w:rsidRDefault="008A11D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 xml:space="preserve"> год</w:t>
            </w:r>
          </w:p>
        </w:tc>
      </w:tr>
      <w:tr w:rsidR="006B4825">
        <w:trPr>
          <w:trHeight w:val="462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36130,20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1540,00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32310,30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1129,90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1 150,00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6B4825">
        <w:trPr>
          <w:trHeight w:val="354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1640,13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326,40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764,60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186,61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175,00</w:t>
            </w:r>
          </w:p>
        </w:tc>
      </w:tr>
      <w:tr w:rsidR="006B4825">
        <w:trPr>
          <w:trHeight w:val="659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  <w:p w:rsidR="006B4825" w:rsidRDefault="006B4825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282499,81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38352,45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39578,53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39885,00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40667,70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42131,53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41119,80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40764,80</w:t>
            </w:r>
          </w:p>
        </w:tc>
      </w:tr>
      <w:tr w:rsidR="006B4825">
        <w:trPr>
          <w:trHeight w:val="248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1 700,00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6B4825">
        <w:trPr>
          <w:trHeight w:val="302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16148,00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2 117,00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2 150,00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2036,00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2 88500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</w:tr>
      <w:tr w:rsidR="006B4825">
        <w:trPr>
          <w:trHeight w:val="649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6B4825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6B4825" w:rsidRDefault="008A11D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338118,14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42 021,97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74 365,23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41921,00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47147,20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45788,14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43614,80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5" w:rsidRDefault="008A11D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43259,80</w:t>
            </w:r>
          </w:p>
        </w:tc>
      </w:tr>
    </w:tbl>
    <w:p w:rsidR="006B4825" w:rsidRDefault="008A11DF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разделе 4 «Ресурсное обеспечение подпрограммы» </w:t>
      </w:r>
      <w:r>
        <w:rPr>
          <w:rFonts w:ascii="Times New Roman" w:hAnsi="Times New Roman" w:cs="Times New Roman"/>
          <w:sz w:val="28"/>
          <w:szCs w:val="28"/>
        </w:rPr>
        <w:t>подпрограммы «Развитие культуры» второй абзац изложить в новой редакции следующего содержания:</w:t>
      </w:r>
      <w:bookmarkStart w:id="0" w:name="_GoBack2"/>
      <w:bookmarkEnd w:id="0"/>
    </w:p>
    <w:p w:rsidR="006B4825" w:rsidRDefault="008A11DF">
      <w:pPr>
        <w:pStyle w:val="aa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338 118,14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B4825" w:rsidRDefault="008A11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B4825" w:rsidRDefault="008A11DF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74 365,23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B4825" w:rsidRDefault="008A11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41 921,00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B4825" w:rsidRDefault="008A11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47147,20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B4825" w:rsidRDefault="008A11D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45 788,14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B4825" w:rsidRDefault="008A11DF">
      <w:pPr>
        <w:pStyle w:val="aa"/>
        <w:ind w:left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2025 год – </w:t>
      </w:r>
      <w:r>
        <w:rPr>
          <w:rFonts w:ascii="Times New Roman" w:hAnsi="Times New Roman" w:cs="Times New Roman"/>
          <w:sz w:val="28"/>
          <w:szCs w:val="28"/>
        </w:rPr>
        <w:t>43 614,80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B4825" w:rsidRDefault="008A11D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2026 год –</w:t>
      </w:r>
      <w:r>
        <w:rPr>
          <w:rFonts w:ascii="Times New Roman" w:hAnsi="Times New Roman" w:cs="Times New Roman"/>
          <w:sz w:val="28"/>
          <w:szCs w:val="28"/>
        </w:rPr>
        <w:t>43 259,80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B4825" w:rsidRDefault="008A1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Приложение № 3 к муниципальной програм</w:t>
      </w:r>
      <w:r>
        <w:rPr>
          <w:rFonts w:ascii="Times New Roman" w:hAnsi="Times New Roman" w:cs="Times New Roman"/>
          <w:sz w:val="28"/>
          <w:szCs w:val="28"/>
        </w:rPr>
        <w:t>ме «Развитие культуры в Невельском муниципальном округе» изложить в новой редакции согласно приложению №</w:t>
      </w:r>
      <w:proofErr w:type="gramStart"/>
      <w:r>
        <w:rPr>
          <w:rFonts w:ascii="Times New Roman" w:hAnsi="Times New Roman" w:cs="Times New Roman"/>
          <w:sz w:val="28"/>
          <w:szCs w:val="28"/>
        </w:rPr>
        <w:t>1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настоящему постановлению.</w:t>
      </w:r>
    </w:p>
    <w:p w:rsidR="006B4825" w:rsidRDefault="008A1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Невельском муниципальном округе» изложить в новой реда</w:t>
      </w:r>
      <w:r>
        <w:rPr>
          <w:rFonts w:ascii="Times New Roman" w:hAnsi="Times New Roman" w:cs="Times New Roman"/>
          <w:sz w:val="28"/>
          <w:szCs w:val="28"/>
        </w:rPr>
        <w:t>кции согласно приложению №</w:t>
      </w:r>
      <w:proofErr w:type="gramStart"/>
      <w:r>
        <w:rPr>
          <w:rFonts w:ascii="Times New Roman" w:hAnsi="Times New Roman" w:cs="Times New Roman"/>
          <w:sz w:val="28"/>
          <w:szCs w:val="28"/>
        </w:rPr>
        <w:t>2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настоящему постановлению.</w:t>
      </w:r>
    </w:p>
    <w:p w:rsidR="006B4825" w:rsidRDefault="008A1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1.7. Приложение № 5 к муниципальной программе «Развитие культуры в Невельском муниципальном округе» изложить в новой редакции согласно приложению №3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6B4825" w:rsidRDefault="008A11DF">
      <w:pPr>
        <w:pStyle w:val="aa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Администрации Невельского  муниципального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6B4825" w:rsidRDefault="008A11DF">
      <w:pPr>
        <w:tabs>
          <w:tab w:val="left" w:pos="142"/>
          <w:tab w:val="left" w:pos="284"/>
        </w:tabs>
        <w:suppressAutoHyphens w:val="0"/>
        <w:ind w:right="-284" w:firstLine="709"/>
        <w:contextualSpacing/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</w:t>
      </w:r>
      <w:r>
        <w:rPr>
          <w:rFonts w:ascii="Times New Roman" w:hAnsi="Times New Roman" w:cs="Times New Roman"/>
          <w:sz w:val="28"/>
          <w:szCs w:val="28"/>
        </w:rPr>
        <w:t xml:space="preserve">зложить на первого заместителя   </w:t>
      </w:r>
      <w:r>
        <w:rPr>
          <w:rFonts w:ascii="Times New Roman" w:hAnsi="Times New Roman" w:cs="Times New Roman"/>
          <w:sz w:val="28"/>
          <w:szCs w:val="28"/>
        </w:rPr>
        <w:t xml:space="preserve"> Главы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 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         </w:t>
      </w:r>
      <w:r>
        <w:rPr>
          <w:rFonts w:ascii="Times New Roman" w:hAnsi="Times New Roman" w:cs="Times New Roman"/>
          <w:sz w:val="28"/>
          <w:szCs w:val="28"/>
        </w:rPr>
        <w:t xml:space="preserve">округа         </w:t>
      </w:r>
      <w:r>
        <w:rPr>
          <w:rFonts w:ascii="Times New Roman" w:hAnsi="Times New Roman" w:cs="Times New Roman"/>
          <w:sz w:val="28"/>
          <w:szCs w:val="28"/>
        </w:rPr>
        <w:t xml:space="preserve"> В.А. Храбрую.</w:t>
      </w:r>
    </w:p>
    <w:p w:rsidR="006B4825" w:rsidRDefault="006B482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6B4825" w:rsidRDefault="006B482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6B4825" w:rsidRDefault="006B482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6B4825" w:rsidRDefault="008A11DF">
      <w:pPr>
        <w:tabs>
          <w:tab w:val="left" w:pos="142"/>
          <w:tab w:val="left" w:pos="284"/>
        </w:tabs>
        <w:suppressAutoHyphens w:val="0"/>
        <w:ind w:right="-284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 Глава Невельского муниципального округа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 МБУК «Культура и </w:t>
      </w:r>
      <w:r>
        <w:rPr>
          <w:rFonts w:ascii="Times New Roman" w:hAnsi="Times New Roman" w:cs="Times New Roman"/>
          <w:sz w:val="22"/>
          <w:szCs w:val="22"/>
        </w:rPr>
        <w:t>досуг»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Быстрова М.В.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Главы администрации Невельского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округа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Невельского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округа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</w:t>
      </w:r>
      <w:r>
        <w:rPr>
          <w:rFonts w:ascii="Times New Roman" w:hAnsi="Times New Roman" w:cs="Times New Roman"/>
          <w:sz w:val="22"/>
          <w:szCs w:val="22"/>
        </w:rPr>
        <w:t>: (81151) 2-19-52</w:t>
      </w:r>
    </w:p>
    <w:p w:rsidR="006B4825" w:rsidRDefault="006B4825">
      <w:pPr>
        <w:rPr>
          <w:rFonts w:ascii="Times New Roman" w:hAnsi="Times New Roman" w:cs="Times New Roman"/>
          <w:sz w:val="22"/>
          <w:szCs w:val="22"/>
        </w:rPr>
      </w:pP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Начальника финансового управления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Невельского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муниципального округа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О.Г.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6B4825" w:rsidRDefault="006B4825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Невельского</w:t>
      </w:r>
    </w:p>
    <w:p w:rsidR="006B4825" w:rsidRDefault="008A11D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муниципального округа</w:t>
      </w: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</w:p>
    <w:p w:rsidR="006B4825" w:rsidRDefault="008A11DF"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B4825" w:rsidRDefault="008A11DF" w:rsidP="008A11DF">
      <w:pPr>
        <w:ind w:right="467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2-32-26</w:t>
      </w:r>
      <w:bookmarkStart w:id="1" w:name="_GoBack"/>
      <w:bookmarkEnd w:id="1"/>
    </w:p>
    <w:sectPr w:rsidR="006B4825">
      <w:pgSz w:w="11906" w:h="16838"/>
      <w:pgMar w:top="993" w:right="566" w:bottom="993" w:left="1418" w:header="0" w:footer="0" w:gutter="0"/>
      <w:cols w:space="720"/>
      <w:formProt w:val="0"/>
      <w:docGrid w:linePitch="360" w:charSpace="1146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2"/>
  </w:compat>
  <w:rsids>
    <w:rsidRoot w:val="006B4825"/>
    <w:rsid w:val="006B4825"/>
    <w:rsid w:val="008A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DA7B8-17BF-4F9C-8FE7-468651EF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Текст выноски Знак"/>
    <w:basedOn w:val="a0"/>
    <w:qFormat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Pr>
      <w:rFonts w:eastAsia="Mangal"/>
      <w:lang w:eastAsia="ar-SA"/>
    </w:rPr>
  </w:style>
  <w:style w:type="paragraph" w:customStyle="1" w:styleId="12">
    <w:name w:val="Название1"/>
    <w:basedOn w:val="a"/>
    <w:qFormat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Normal (Web)"/>
    <w:basedOn w:val="a"/>
    <w:qFormat/>
    <w:pPr>
      <w:spacing w:before="28" w:after="119" w:line="100" w:lineRule="atLeast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2797</TotalTime>
  <Pages>3</Pages>
  <Words>837</Words>
  <Characters>4771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KAB-26-PC-2</cp:lastModifiedBy>
  <cp:revision>138</cp:revision>
  <cp:lastPrinted>2024-01-23T15:48:00Z</cp:lastPrinted>
  <dcterms:created xsi:type="dcterms:W3CDTF">2023-04-18T05:25:00Z</dcterms:created>
  <dcterms:modified xsi:type="dcterms:W3CDTF">2024-02-09T07:01:00Z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