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C9430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C94307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C94307">
        <w:rPr>
          <w:rFonts w:ascii="Times New Roman" w:eastAsia="Times New Roman" w:hAnsi="Times New Roman" w:cs="Times New Roman"/>
          <w:sz w:val="28"/>
          <w:szCs w:val="24"/>
          <w:lang w:eastAsia="ru-RU"/>
        </w:rPr>
        <w:t>92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167BE1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в </w:t>
      </w: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7FD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F24959" w:rsidRPr="009A17FD" w:rsidRDefault="00F24959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 п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рограмму «Развитие образования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607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52"/>
        <w:gridCol w:w="1136"/>
        <w:gridCol w:w="822"/>
        <w:gridCol w:w="842"/>
        <w:gridCol w:w="840"/>
        <w:gridCol w:w="840"/>
        <w:gridCol w:w="435"/>
        <w:gridCol w:w="507"/>
        <w:gridCol w:w="439"/>
        <w:gridCol w:w="435"/>
        <w:gridCol w:w="457"/>
        <w:gridCol w:w="491"/>
        <w:gridCol w:w="501"/>
        <w:gridCol w:w="476"/>
      </w:tblGrid>
      <w:tr w:rsidR="00655E48" w:rsidRPr="009A17FD" w:rsidTr="004512F4">
        <w:trPr>
          <w:trHeight w:val="600"/>
        </w:trPr>
        <w:tc>
          <w:tcPr>
            <w:tcW w:w="7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D650BD" w:rsidRDefault="00C94307" w:rsidP="00C9430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уб.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4512F4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11866,00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55E48" w:rsidRPr="009A17FD" w:rsidTr="004512F4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="00EC2E7D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39094</w:t>
            </w: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,50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119154,50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109969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655E48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10997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1,</w:t>
            </w:r>
            <w:r w:rsidR="00655E48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4512F4">
        <w:trPr>
          <w:trHeight w:val="38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4512F4" w:rsidRDefault="00BB0B85" w:rsidP="00EC2E7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</w:rPr>
            </w:pPr>
            <w:r w:rsidRPr="000149E6">
              <w:rPr>
                <w:rFonts w:ascii="Times New Roman" w:eastAsia="Calibri" w:hAnsi="Times New Roman" w:cs="Times New Roman"/>
                <w:sz w:val="16"/>
                <w:szCs w:val="16"/>
              </w:rPr>
              <w:t>207</w:t>
            </w:r>
            <w:r w:rsidR="004512F4" w:rsidRPr="000149E6">
              <w:rPr>
                <w:rFonts w:ascii="Times New Roman" w:eastAsia="Calibri" w:hAnsi="Times New Roman" w:cs="Times New Roman"/>
                <w:sz w:val="16"/>
                <w:szCs w:val="16"/>
              </w:rPr>
              <w:t>357,6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E05097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</w:t>
            </w:r>
            <w:r w:rsidR="00E0509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999</w:t>
            </w: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E0509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BB0B85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68679,0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="00EC2E7D" w:rsidRPr="00D650BD">
              <w:rPr>
                <w:rFonts w:ascii="Times New Roman" w:hAnsi="Times New Roman" w:cs="Times New Roman"/>
                <w:sz w:val="16"/>
                <w:szCs w:val="16"/>
              </w:rPr>
              <w:t>679,2</w:t>
            </w:r>
            <w:r w:rsidR="00655E48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4512F4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44400,0</w:t>
            </w:r>
            <w:r w:rsidR="0051742F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51742F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51742F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14800,0</w:t>
            </w:r>
            <w:r w:rsidR="0051742F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1742F" w:rsidRPr="009A17FD" w:rsidTr="004512F4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E0509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602</w:t>
            </w:r>
            <w:r w:rsidR="00E05097">
              <w:rPr>
                <w:rFonts w:ascii="Times New Roman" w:eastAsia="Calibri" w:hAnsi="Times New Roman" w:cs="Times New Roman"/>
                <w:sz w:val="16"/>
                <w:szCs w:val="16"/>
              </w:rPr>
              <w:t>718,1</w:t>
            </w: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E05097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215025,90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194252,00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193440,20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F24959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Ресурсное обеспечение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F24959" w:rsidRDefault="00F24959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24959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 руб.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D650BD" w:rsidRDefault="00F249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E6FCE" w:rsidRPr="009A17FD" w:rsidTr="004512F4">
        <w:trPr>
          <w:trHeight w:val="270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E05097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0509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215025,90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119154,50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E05097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0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70999,40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9A48B3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194252,00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109969,00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68679,00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</w:t>
            </w:r>
            <w:r w:rsidR="009A48B3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3440,20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109971,00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67679,20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E05097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0509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602718,10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11866,00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339094,50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4512F4" w:rsidRDefault="004512F4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0149E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207357,6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44400,0</w:t>
            </w:r>
            <w:r w:rsidR="00B818E6"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F24959"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«Развитие дошкольного, общего, дополнительного образования»: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64"/>
        <w:gridCol w:w="990"/>
        <w:gridCol w:w="782"/>
        <w:gridCol w:w="760"/>
        <w:gridCol w:w="760"/>
        <w:gridCol w:w="760"/>
        <w:gridCol w:w="400"/>
        <w:gridCol w:w="427"/>
        <w:gridCol w:w="484"/>
        <w:gridCol w:w="488"/>
        <w:gridCol w:w="484"/>
        <w:gridCol w:w="630"/>
        <w:gridCol w:w="485"/>
        <w:gridCol w:w="521"/>
      </w:tblGrid>
      <w:tr w:rsidR="0089106D" w:rsidRPr="009A17FD" w:rsidTr="00810E93">
        <w:trPr>
          <w:trHeight w:val="600"/>
        </w:trPr>
        <w:tc>
          <w:tcPr>
            <w:tcW w:w="79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10E93" w:rsidRPr="009A17FD" w:rsidTr="00810E93">
        <w:trPr>
          <w:trHeight w:val="447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11866,00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10E93" w:rsidRPr="009A17FD" w:rsidTr="00810E93">
        <w:trPr>
          <w:trHeight w:val="586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339094,50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119154,50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109969,00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38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E05097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187622,60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E05097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64024,10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10E9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62197,8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2274FE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61400,7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60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44400,0</w:t>
            </w:r>
            <w:r w:rsidR="0089106D"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60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9106D" w:rsidP="00E05097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582</w:t>
            </w:r>
            <w:r w:rsidR="00E050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983,1</w:t>
            </w: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E05097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208050,60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187770,80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187161,70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24959" w:rsidRPr="00D650B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 </w:t>
      </w:r>
      <w:r w:rsidR="00A20ED8" w:rsidRPr="00A20ED8">
        <w:rPr>
          <w:rFonts w:ascii="Times New Roman" w:eastAsia="Times New Roman" w:hAnsi="Times New Roman" w:cs="Times New Roman"/>
          <w:sz w:val="28"/>
          <w:szCs w:val="28"/>
          <w:lang w:eastAsia="ru-RU"/>
        </w:rPr>
        <w:t>582983,10</w:t>
      </w:r>
      <w:r w:rsidR="00A2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ED8" w:rsidRPr="00A20ED8">
        <w:rPr>
          <w:rFonts w:ascii="Times New Roman" w:eastAsia="Times New Roman" w:hAnsi="Times New Roman" w:cs="Times New Roman"/>
          <w:sz w:val="28"/>
          <w:szCs w:val="28"/>
          <w:lang w:eastAsia="ru-RU"/>
        </w:rPr>
        <w:t>208050,60</w:t>
      </w:r>
      <w:r w:rsidR="00A2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187770,80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187161,70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278EB" w:rsidRDefault="00167BE1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«Развитие образования в муниципальном образов</w:t>
      </w:r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 «</w:t>
      </w:r>
      <w:proofErr w:type="spellStart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 приложению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мероприятий, осн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мероприятий муниципальной 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аммы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муниципальном</w:t>
      </w:r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 «</w:t>
      </w:r>
      <w:proofErr w:type="spellStart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2 к настоящему постановлению.</w:t>
      </w:r>
    </w:p>
    <w:p w:rsidR="009A17FD" w:rsidRP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 и подлежит размещению на официальном сайте муниципального образования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район» в информационно-телекоммуникационной сети «Интернет».</w:t>
      </w:r>
      <w:r w:rsidR="009A17FD" w:rsidRPr="009A17FD">
        <w:rPr>
          <w:rFonts w:ascii="Calibri" w:eastAsia="Times New Roman" w:hAnsi="Calibri" w:cs="Calibri"/>
          <w:kern w:val="2"/>
          <w:sz w:val="26"/>
          <w:szCs w:val="26"/>
        </w:rPr>
        <w:t xml:space="preserve"> </w:t>
      </w:r>
    </w:p>
    <w:p w:rsidR="009A17FD" w:rsidRPr="009A17FD" w:rsidRDefault="00167BE1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первого заместителя Главы администрации района В.А.</w:t>
      </w:r>
      <w:r w:rsidR="00A9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 w:rsidSect="00906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C1"/>
    <w:rsid w:val="000149E6"/>
    <w:rsid w:val="000433A7"/>
    <w:rsid w:val="00094783"/>
    <w:rsid w:val="000B7501"/>
    <w:rsid w:val="000E7CA8"/>
    <w:rsid w:val="000F6E39"/>
    <w:rsid w:val="0012187D"/>
    <w:rsid w:val="001461C1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B5736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207E"/>
    <w:rsid w:val="003F372E"/>
    <w:rsid w:val="004113A4"/>
    <w:rsid w:val="004512F4"/>
    <w:rsid w:val="004749A6"/>
    <w:rsid w:val="00510DE1"/>
    <w:rsid w:val="0051742F"/>
    <w:rsid w:val="005B5824"/>
    <w:rsid w:val="006046D7"/>
    <w:rsid w:val="00655E48"/>
    <w:rsid w:val="00660272"/>
    <w:rsid w:val="006619EF"/>
    <w:rsid w:val="00697E8C"/>
    <w:rsid w:val="006C708D"/>
    <w:rsid w:val="006E1DA3"/>
    <w:rsid w:val="006F0087"/>
    <w:rsid w:val="007B2AA8"/>
    <w:rsid w:val="00804933"/>
    <w:rsid w:val="00805E39"/>
    <w:rsid w:val="00810E93"/>
    <w:rsid w:val="00844BD4"/>
    <w:rsid w:val="00872FF6"/>
    <w:rsid w:val="0089106D"/>
    <w:rsid w:val="00906C60"/>
    <w:rsid w:val="00913A97"/>
    <w:rsid w:val="009A17FD"/>
    <w:rsid w:val="009A2F9F"/>
    <w:rsid w:val="009A48B3"/>
    <w:rsid w:val="009B472B"/>
    <w:rsid w:val="009E1EF3"/>
    <w:rsid w:val="009F3EEC"/>
    <w:rsid w:val="00A20ED8"/>
    <w:rsid w:val="00A3534B"/>
    <w:rsid w:val="00A932CB"/>
    <w:rsid w:val="00AE126A"/>
    <w:rsid w:val="00B102CD"/>
    <w:rsid w:val="00B444A3"/>
    <w:rsid w:val="00B640D8"/>
    <w:rsid w:val="00B818E6"/>
    <w:rsid w:val="00B860E4"/>
    <w:rsid w:val="00BB0B85"/>
    <w:rsid w:val="00BC4A80"/>
    <w:rsid w:val="00BE6FCE"/>
    <w:rsid w:val="00BE7A9E"/>
    <w:rsid w:val="00C45B49"/>
    <w:rsid w:val="00C901B7"/>
    <w:rsid w:val="00C94307"/>
    <w:rsid w:val="00CD5207"/>
    <w:rsid w:val="00D22344"/>
    <w:rsid w:val="00D650BD"/>
    <w:rsid w:val="00D66978"/>
    <w:rsid w:val="00D932CC"/>
    <w:rsid w:val="00D94464"/>
    <w:rsid w:val="00E05097"/>
    <w:rsid w:val="00EB1E05"/>
    <w:rsid w:val="00EC2E7D"/>
    <w:rsid w:val="00ED4EE5"/>
    <w:rsid w:val="00F21558"/>
    <w:rsid w:val="00F24959"/>
    <w:rsid w:val="00F364FB"/>
    <w:rsid w:val="00F5441C"/>
    <w:rsid w:val="00F90D92"/>
    <w:rsid w:val="00FD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59</cp:revision>
  <cp:lastPrinted>2019-05-27T05:50:00Z</cp:lastPrinted>
  <dcterms:created xsi:type="dcterms:W3CDTF">2019-05-29T06:00:00Z</dcterms:created>
  <dcterms:modified xsi:type="dcterms:W3CDTF">2020-02-19T11:47:00Z</dcterms:modified>
</cp:coreProperties>
</file>