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B3469" w:rsidRDefault="00081B82" w:rsidP="00C11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3B3469">
        <w:rPr>
          <w:rFonts w:ascii="Times New Roman" w:hAnsi="Times New Roman" w:cs="Times New Roman"/>
          <w:b/>
          <w:sz w:val="28"/>
          <w:szCs w:val="28"/>
        </w:rPr>
        <w:t xml:space="preserve"> к </w:t>
      </w:r>
      <w:r w:rsidRPr="00081B82">
        <w:rPr>
          <w:rFonts w:ascii="Times New Roman" w:hAnsi="Times New Roman" w:cs="Times New Roman"/>
          <w:b/>
          <w:sz w:val="28"/>
          <w:szCs w:val="28"/>
        </w:rPr>
        <w:t>прогноз</w:t>
      </w:r>
      <w:r w:rsidR="003B3469">
        <w:rPr>
          <w:rFonts w:ascii="Times New Roman" w:hAnsi="Times New Roman" w:cs="Times New Roman"/>
          <w:b/>
          <w:sz w:val="28"/>
          <w:szCs w:val="28"/>
        </w:rPr>
        <w:t>у</w:t>
      </w:r>
    </w:p>
    <w:p w:rsidR="00081B82" w:rsidRDefault="00081B82" w:rsidP="00C11A1A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1B82">
        <w:rPr>
          <w:rFonts w:ascii="Times New Roman" w:hAnsi="Times New Roman" w:cs="Times New Roman"/>
          <w:b/>
          <w:sz w:val="28"/>
          <w:szCs w:val="28"/>
        </w:rPr>
        <w:t xml:space="preserve"> социально-экономического развития </w:t>
      </w:r>
      <w:r w:rsidR="003B3469">
        <w:rPr>
          <w:rFonts w:ascii="Times New Roman" w:hAnsi="Times New Roman" w:cs="Times New Roman"/>
          <w:b/>
          <w:sz w:val="28"/>
          <w:szCs w:val="28"/>
        </w:rPr>
        <w:t>муниципального образования «Невельский район»</w:t>
      </w:r>
      <w:r w:rsidR="004F6E8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B3469">
        <w:rPr>
          <w:rFonts w:ascii="Times New Roman" w:hAnsi="Times New Roman" w:cs="Times New Roman"/>
          <w:b/>
          <w:sz w:val="28"/>
          <w:szCs w:val="28"/>
        </w:rPr>
        <w:t xml:space="preserve">на долгосрочный период </w:t>
      </w:r>
      <w:r w:rsidR="004F6E85">
        <w:rPr>
          <w:rFonts w:ascii="Times New Roman" w:hAnsi="Times New Roman" w:cs="Times New Roman"/>
          <w:b/>
          <w:sz w:val="28"/>
          <w:szCs w:val="28"/>
        </w:rPr>
        <w:t>до 202</w:t>
      </w:r>
      <w:r w:rsidR="007F5E16">
        <w:rPr>
          <w:rFonts w:ascii="Times New Roman" w:hAnsi="Times New Roman" w:cs="Times New Roman"/>
          <w:b/>
          <w:sz w:val="28"/>
          <w:szCs w:val="28"/>
        </w:rPr>
        <w:t>8</w:t>
      </w:r>
      <w:r w:rsidR="00951F69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4F6E85">
        <w:rPr>
          <w:rFonts w:ascii="Times New Roman" w:hAnsi="Times New Roman" w:cs="Times New Roman"/>
          <w:b/>
          <w:sz w:val="28"/>
          <w:szCs w:val="28"/>
        </w:rPr>
        <w:t>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81B82" w:rsidRDefault="00081B82" w:rsidP="00C11A1A">
      <w:pPr>
        <w:spacing w:after="0"/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081B82" w:rsidRPr="007F5E16" w:rsidRDefault="00AF540A" w:rsidP="007F5E1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рогноз социально-экономического развития </w:t>
      </w:r>
      <w:r w:rsidRPr="007F5E16">
        <w:rPr>
          <w:rFonts w:ascii="Times New Roman" w:hAnsi="Times New Roman" w:cs="Times New Roman"/>
          <w:sz w:val="28"/>
          <w:szCs w:val="28"/>
        </w:rPr>
        <w:t>муниципального образования «</w:t>
      </w:r>
      <w:r w:rsidR="00081B82" w:rsidRPr="007F5E16">
        <w:rPr>
          <w:rFonts w:ascii="Times New Roman" w:hAnsi="Times New Roman" w:cs="Times New Roman"/>
          <w:sz w:val="28"/>
          <w:szCs w:val="28"/>
        </w:rPr>
        <w:t>Невельск</w:t>
      </w:r>
      <w:r w:rsidRPr="007F5E16">
        <w:rPr>
          <w:rFonts w:ascii="Times New Roman" w:hAnsi="Times New Roman" w:cs="Times New Roman"/>
          <w:sz w:val="28"/>
          <w:szCs w:val="28"/>
        </w:rPr>
        <w:t>ий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7F5E16">
        <w:rPr>
          <w:rFonts w:ascii="Times New Roman" w:hAnsi="Times New Roman" w:cs="Times New Roman"/>
          <w:sz w:val="28"/>
          <w:szCs w:val="28"/>
        </w:rPr>
        <w:t>»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на </w:t>
      </w:r>
      <w:r w:rsidRPr="007F5E16">
        <w:rPr>
          <w:rFonts w:ascii="Times New Roman" w:hAnsi="Times New Roman" w:cs="Times New Roman"/>
          <w:sz w:val="28"/>
          <w:szCs w:val="28"/>
        </w:rPr>
        <w:t>долгосрочный период до 202</w:t>
      </w:r>
      <w:r w:rsidR="007F5E16" w:rsidRPr="007F5E16">
        <w:rPr>
          <w:rFonts w:ascii="Times New Roman" w:hAnsi="Times New Roman" w:cs="Times New Roman"/>
          <w:sz w:val="28"/>
          <w:szCs w:val="28"/>
        </w:rPr>
        <w:t>8</w:t>
      </w:r>
      <w:r w:rsidRPr="007F5E16">
        <w:rPr>
          <w:rFonts w:ascii="Times New Roman" w:hAnsi="Times New Roman" w:cs="Times New Roman"/>
          <w:sz w:val="28"/>
          <w:szCs w:val="28"/>
        </w:rPr>
        <w:t xml:space="preserve"> года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разработан в соответствии с постановлением Администрации Невельского района от 1</w:t>
      </w:r>
      <w:r w:rsidR="00592DF7" w:rsidRPr="007F5E16">
        <w:rPr>
          <w:rFonts w:ascii="Times New Roman" w:hAnsi="Times New Roman" w:cs="Times New Roman"/>
          <w:sz w:val="28"/>
          <w:szCs w:val="28"/>
        </w:rPr>
        <w:t>6.10</w:t>
      </w:r>
      <w:r w:rsidR="00081B82" w:rsidRPr="007F5E16">
        <w:rPr>
          <w:rFonts w:ascii="Times New Roman" w:hAnsi="Times New Roman" w:cs="Times New Roman"/>
          <w:sz w:val="28"/>
          <w:szCs w:val="28"/>
        </w:rPr>
        <w:t>.201</w:t>
      </w:r>
      <w:r w:rsidR="00592DF7" w:rsidRPr="007F5E16">
        <w:rPr>
          <w:rFonts w:ascii="Times New Roman" w:hAnsi="Times New Roman" w:cs="Times New Roman"/>
          <w:sz w:val="28"/>
          <w:szCs w:val="28"/>
        </w:rPr>
        <w:t>9 №</w:t>
      </w:r>
      <w:r w:rsidR="007F5E16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="00592DF7" w:rsidRPr="007F5E16">
        <w:rPr>
          <w:rFonts w:ascii="Times New Roman" w:hAnsi="Times New Roman" w:cs="Times New Roman"/>
          <w:sz w:val="28"/>
          <w:szCs w:val="28"/>
        </w:rPr>
        <w:t>512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«О</w:t>
      </w:r>
      <w:r w:rsidR="00592DF7" w:rsidRPr="007F5E16">
        <w:rPr>
          <w:rFonts w:ascii="Times New Roman" w:hAnsi="Times New Roman" w:cs="Times New Roman"/>
          <w:sz w:val="28"/>
          <w:szCs w:val="28"/>
        </w:rPr>
        <w:t>б утверждении П</w:t>
      </w:r>
      <w:r w:rsidR="00081B82" w:rsidRPr="007F5E16">
        <w:rPr>
          <w:rFonts w:ascii="Times New Roman" w:hAnsi="Times New Roman" w:cs="Times New Roman"/>
          <w:sz w:val="28"/>
          <w:szCs w:val="28"/>
        </w:rPr>
        <w:t>орядк</w:t>
      </w:r>
      <w:r w:rsidR="00592DF7" w:rsidRPr="007F5E16">
        <w:rPr>
          <w:rFonts w:ascii="Times New Roman" w:hAnsi="Times New Roman" w:cs="Times New Roman"/>
          <w:sz w:val="28"/>
          <w:szCs w:val="28"/>
        </w:rPr>
        <w:t>а</w:t>
      </w:r>
      <w:r w:rsidR="00081B82" w:rsidRPr="007F5E16">
        <w:rPr>
          <w:rFonts w:ascii="Times New Roman" w:hAnsi="Times New Roman" w:cs="Times New Roman"/>
          <w:sz w:val="28"/>
          <w:szCs w:val="28"/>
        </w:rPr>
        <w:t xml:space="preserve"> разработки прогноза социально-экономического развития </w:t>
      </w:r>
      <w:r w:rsidR="00592DF7" w:rsidRPr="007F5E16">
        <w:rPr>
          <w:rFonts w:ascii="Times New Roman" w:hAnsi="Times New Roman" w:cs="Times New Roman"/>
          <w:sz w:val="28"/>
          <w:szCs w:val="28"/>
        </w:rPr>
        <w:t xml:space="preserve">МО </w:t>
      </w:r>
      <w:r w:rsidR="00081B82" w:rsidRPr="007F5E16">
        <w:rPr>
          <w:rFonts w:ascii="Times New Roman" w:hAnsi="Times New Roman" w:cs="Times New Roman"/>
          <w:sz w:val="28"/>
          <w:szCs w:val="28"/>
        </w:rPr>
        <w:t>«Невельский район»</w:t>
      </w:r>
      <w:r w:rsidR="00A12D12" w:rsidRPr="007F5E16">
        <w:rPr>
          <w:rFonts w:ascii="Times New Roman" w:hAnsi="Times New Roman" w:cs="Times New Roman"/>
          <w:sz w:val="28"/>
          <w:szCs w:val="28"/>
        </w:rPr>
        <w:t xml:space="preserve"> на </w:t>
      </w:r>
      <w:r w:rsidR="00592DF7" w:rsidRPr="007F5E16">
        <w:rPr>
          <w:rFonts w:ascii="Times New Roman" w:hAnsi="Times New Roman" w:cs="Times New Roman"/>
          <w:sz w:val="28"/>
          <w:szCs w:val="28"/>
        </w:rPr>
        <w:t>долгосрочный</w:t>
      </w:r>
      <w:r w:rsidR="00A12D12" w:rsidRPr="007F5E16">
        <w:rPr>
          <w:rFonts w:ascii="Times New Roman" w:hAnsi="Times New Roman" w:cs="Times New Roman"/>
          <w:sz w:val="28"/>
          <w:szCs w:val="28"/>
        </w:rPr>
        <w:t xml:space="preserve"> период».</w:t>
      </w:r>
    </w:p>
    <w:p w:rsidR="00A12D12" w:rsidRPr="007F5E16" w:rsidRDefault="008C44BD" w:rsidP="007F5E1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При разработке </w:t>
      </w:r>
      <w:r w:rsidR="00592DF7" w:rsidRPr="007F5E16">
        <w:rPr>
          <w:rFonts w:ascii="Times New Roman" w:hAnsi="Times New Roman" w:cs="Times New Roman"/>
          <w:sz w:val="28"/>
          <w:szCs w:val="28"/>
        </w:rPr>
        <w:t>долгосрочного</w:t>
      </w:r>
      <w:r w:rsidR="006373D3" w:rsidRPr="007F5E16">
        <w:rPr>
          <w:rFonts w:ascii="Times New Roman" w:hAnsi="Times New Roman" w:cs="Times New Roman"/>
          <w:sz w:val="28"/>
          <w:szCs w:val="28"/>
        </w:rPr>
        <w:t xml:space="preserve"> </w:t>
      </w:r>
      <w:r w:rsidRPr="007F5E16">
        <w:rPr>
          <w:rFonts w:ascii="Times New Roman" w:hAnsi="Times New Roman" w:cs="Times New Roman"/>
          <w:sz w:val="28"/>
          <w:szCs w:val="28"/>
        </w:rPr>
        <w:t>прогноза учитывались:</w:t>
      </w:r>
    </w:p>
    <w:p w:rsidR="008C44BD" w:rsidRPr="007F5E16" w:rsidRDefault="00BB501E" w:rsidP="007F5E16">
      <w:pPr>
        <w:pStyle w:val="a3"/>
        <w:numPr>
          <w:ilvl w:val="0"/>
          <w:numId w:val="15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с</w:t>
      </w:r>
      <w:r w:rsidR="008C44BD" w:rsidRPr="007F5E16">
        <w:rPr>
          <w:rFonts w:ascii="Times New Roman" w:hAnsi="Times New Roman" w:cs="Times New Roman"/>
          <w:sz w:val="28"/>
          <w:szCs w:val="28"/>
        </w:rPr>
        <w:t>татистическая информация</w:t>
      </w:r>
      <w:r w:rsidR="0076113A" w:rsidRPr="007F5E16">
        <w:rPr>
          <w:rFonts w:ascii="Times New Roman" w:hAnsi="Times New Roman" w:cs="Times New Roman"/>
          <w:sz w:val="28"/>
          <w:szCs w:val="28"/>
        </w:rPr>
        <w:t xml:space="preserve"> о социально-экономическом положении з</w:t>
      </w:r>
      <w:r w:rsidR="007F5E16" w:rsidRPr="007F5E16">
        <w:rPr>
          <w:rFonts w:ascii="Times New Roman" w:hAnsi="Times New Roman" w:cs="Times New Roman"/>
          <w:sz w:val="28"/>
          <w:szCs w:val="28"/>
        </w:rPr>
        <w:t>а 2020-2021</w:t>
      </w:r>
      <w:r w:rsidR="005E7F7C" w:rsidRPr="007F5E16">
        <w:rPr>
          <w:rFonts w:ascii="Times New Roman" w:hAnsi="Times New Roman" w:cs="Times New Roman"/>
          <w:sz w:val="28"/>
          <w:szCs w:val="28"/>
        </w:rPr>
        <w:t xml:space="preserve"> годы </w:t>
      </w:r>
      <w:r w:rsidR="007F5E16" w:rsidRPr="007F5E16">
        <w:rPr>
          <w:rFonts w:ascii="Times New Roman" w:hAnsi="Times New Roman" w:cs="Times New Roman"/>
          <w:b/>
          <w:sz w:val="28"/>
          <w:szCs w:val="28"/>
        </w:rPr>
        <w:t>и 1 полугодие 2022</w:t>
      </w:r>
      <w:r w:rsidR="005E7F7C" w:rsidRPr="007F5E16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76113A" w:rsidRPr="007F5E16">
        <w:rPr>
          <w:rFonts w:ascii="Times New Roman" w:hAnsi="Times New Roman" w:cs="Times New Roman"/>
          <w:b/>
          <w:sz w:val="28"/>
          <w:szCs w:val="28"/>
        </w:rPr>
        <w:t>года</w:t>
      </w:r>
      <w:r w:rsidR="005B133A" w:rsidRPr="007F5E16">
        <w:rPr>
          <w:rFonts w:ascii="Times New Roman" w:hAnsi="Times New Roman" w:cs="Times New Roman"/>
          <w:sz w:val="28"/>
          <w:szCs w:val="28"/>
        </w:rPr>
        <w:t>;</w:t>
      </w:r>
    </w:p>
    <w:p w:rsidR="008C44BD" w:rsidRDefault="007F5E16" w:rsidP="007F5E16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параметры Стратегии социально-экономического развития муниципального образования «Невельский район» до 2030 года, утвержденной решением Собрания депутатов Невельского района от 28.07.2020г. № 391;</w:t>
      </w:r>
    </w:p>
    <w:p w:rsidR="007F5E16" w:rsidRPr="007F5E16" w:rsidRDefault="007F5E16" w:rsidP="007F5E16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индексы-дефляторы и</w:t>
      </w:r>
      <w:r w:rsidR="006665E0">
        <w:rPr>
          <w:rFonts w:ascii="Times New Roman" w:hAnsi="Times New Roman" w:cs="Times New Roman"/>
          <w:sz w:val="28"/>
          <w:szCs w:val="28"/>
        </w:rPr>
        <w:t xml:space="preserve"> макроэкономические показатели долгосрочных</w:t>
      </w:r>
      <w:r w:rsidRPr="007F5E16">
        <w:rPr>
          <w:rFonts w:ascii="Times New Roman" w:hAnsi="Times New Roman" w:cs="Times New Roman"/>
          <w:sz w:val="28"/>
          <w:szCs w:val="28"/>
        </w:rPr>
        <w:t xml:space="preserve"> прогнозов Российской Федерации и Псковской области;</w:t>
      </w:r>
    </w:p>
    <w:p w:rsidR="007F5E16" w:rsidRPr="007F5E16" w:rsidRDefault="007F5E16" w:rsidP="007F5E16">
      <w:pPr>
        <w:pStyle w:val="a3"/>
        <w:numPr>
          <w:ilvl w:val="0"/>
          <w:numId w:val="17"/>
        </w:numPr>
        <w:tabs>
          <w:tab w:val="left" w:pos="0"/>
        </w:tabs>
        <w:spacing w:after="0" w:line="240" w:lineRule="auto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сценарные условия функционирования экономики Псковской области.</w:t>
      </w:r>
    </w:p>
    <w:p w:rsidR="008C44BD" w:rsidRPr="007F5E16" w:rsidRDefault="002B7A14" w:rsidP="007F5E16">
      <w:pPr>
        <w:tabs>
          <w:tab w:val="left" w:pos="851"/>
        </w:tabs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Прогноз социально-экономического развития муниципального образования «Невельский район» на долгосрочный период до 202</w:t>
      </w:r>
      <w:r w:rsidR="007F5E16" w:rsidRPr="007F5E16">
        <w:rPr>
          <w:rFonts w:ascii="Times New Roman" w:hAnsi="Times New Roman" w:cs="Times New Roman"/>
          <w:sz w:val="28"/>
          <w:szCs w:val="28"/>
        </w:rPr>
        <w:t>8</w:t>
      </w:r>
      <w:r w:rsidRPr="007F5E16">
        <w:rPr>
          <w:rFonts w:ascii="Times New Roman" w:hAnsi="Times New Roman" w:cs="Times New Roman"/>
          <w:sz w:val="28"/>
          <w:szCs w:val="28"/>
        </w:rPr>
        <w:t xml:space="preserve"> года </w:t>
      </w:r>
      <w:r w:rsidR="008C44BD" w:rsidRPr="007F5E16">
        <w:rPr>
          <w:rFonts w:ascii="Times New Roman" w:hAnsi="Times New Roman" w:cs="Times New Roman"/>
          <w:sz w:val="28"/>
          <w:szCs w:val="28"/>
        </w:rPr>
        <w:t>разработан в двух вариантах.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>Первый (базовый) вариант описывает наиболее вероятный сценарий развития экономики с учетом ожидаемых внешних условий и принимаемых мер.   Базовый вариант является основным для разработки параметров бюджет</w:t>
      </w:r>
      <w:r>
        <w:rPr>
          <w:rFonts w:ascii="Times New Roman" w:hAnsi="Times New Roman" w:cs="Times New Roman"/>
          <w:sz w:val="28"/>
          <w:szCs w:val="28"/>
        </w:rPr>
        <w:t>ного прогноза</w:t>
      </w:r>
      <w:r w:rsidRPr="007F5E16">
        <w:rPr>
          <w:rFonts w:ascii="Times New Roman" w:hAnsi="Times New Roman" w:cs="Times New Roman"/>
          <w:sz w:val="28"/>
          <w:szCs w:val="28"/>
        </w:rPr>
        <w:t xml:space="preserve"> МО «Невельский район». </w:t>
      </w:r>
    </w:p>
    <w:p w:rsidR="005A4849" w:rsidRDefault="007F5E16" w:rsidP="007F5E16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F5E16">
        <w:rPr>
          <w:rFonts w:ascii="Times New Roman" w:hAnsi="Times New Roman" w:cs="Times New Roman"/>
          <w:sz w:val="28"/>
          <w:szCs w:val="28"/>
        </w:rPr>
        <w:t xml:space="preserve">Второй (консервативный) вариант прогноза основан на предпосылке о менее благоприятном, затяжном сценарии восстановления экономики в среднесрочной перспективе.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highlight w:val="yellow"/>
          <w:lang w:eastAsia="ru-RU"/>
        </w:rPr>
      </w:pPr>
    </w:p>
    <w:p w:rsidR="005A4849" w:rsidRPr="00C408B3" w:rsidRDefault="005A4849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Предварительные итоги</w:t>
      </w:r>
    </w:p>
    <w:p w:rsidR="005A4849" w:rsidRPr="00C408B3" w:rsidRDefault="005A4849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социально-экономического развития </w:t>
      </w:r>
      <w:r w:rsidR="002F7DD1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«Невельский район» з</w:t>
      </w: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 20</w:t>
      </w:r>
      <w:r w:rsidR="007F5E16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</w:t>
      </w:r>
      <w:r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</w:t>
      </w:r>
      <w:r w:rsidR="00213633" w:rsidRPr="00C408B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5A4849" w:rsidRPr="007F5E16" w:rsidRDefault="005A4849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6"/>
          <w:szCs w:val="26"/>
          <w:highlight w:val="yellow"/>
          <w:lang w:eastAsia="ru-RU"/>
        </w:rPr>
      </w:pP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итогам первого полугодия 2022 года в МО «Невельский район» отмечены следующие положительные тенденции в развитии района: по отношению к аналогичному периоду прошлого года   рост объема по виду экономической деятельности «обеспечение электрической энергией, газом и паром; кондиционирование воздуха» на 5,6%, увеличился оборот розничной торговли, улучшилась динамика ввода в действие общей площади жилых домов, сократилась численность официально зарегистрированных безработных. 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Наряду с положительными тенденциями в январе-июне 2022 года наблюдалось сокращение объема отгруженных товаров собственного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производства, выполненных работ и услуг собственными силами, спад производства скота и птицы на убой, яиц, молока.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полугодии 2022 года произошел спад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объема отгруженных товаров собственного производства,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выполненных работ и услуг собственными силами   и составил 7898,5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или 63,8% к АППГ.  В 2021 году объем отгруженных товаров собственного производства сократился на 0,6% по сравнению с 2020 годом и составил 21848,8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оценке в 2022 году объем отгруженных товаров собственного производства, выполнение работ и услуг собственными силами составит 21455,2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или 98,2% к уровню 2021 года.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Существенное влияние на развитие экономики района оказывает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малый и средний бизнес.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 данным сервиса «Единый реестр субъектов МСП» Федеральной налоговой службы на конец 2021 года в Невельском районе числилось 441 субъект МСП, что меньше чем на конец 2020 года на 18 субъектов. На снижение числа субъектов повлияло введение ограничительных мероприятий в связи с распространением новой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коронавирусной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инфекции, а также введением налога на профессиональный доход – многие парикмахеры, швеи и др. категории снялись с учета в качестве индивидуальных предпринимателей, а зарегистрировались в качестве «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». На начало 2022 года по данным налоговых органов в Невельском районе числилось 402 человека, зарегистрированных в качестве плательщиков налога на профессиональный доход («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самозанятых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»), на 01.10.2022 – 604</w:t>
      </w:r>
      <w:r w:rsidR="00A6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человека.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условиях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санкционных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мер со стороны недружественных стран прогнозируется спад развития сферы малого и среднего предпринимательства, снижение показателей деятельности.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предварительной оценке, на конец 2022 года количество субъектов малого и среднего предпринимательства сократится до 437 ед.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Оборот розничной торговли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2021 году по сравнению с 2020 годом снизился на 4,6% и составил 2203,97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., за 1 полугодие 2022 года оборот розничной торговли составил 1317,6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или 125,3% к АППГ. В 1 полугодии 2022 года в структуре оборота розничной торговли удельный вес пищевых продуктов, включая напитки, и табачных изделий составил 48,8%, непродовольственных товаров 52,1% (в 2021 году – 49,8% и 50,2% соответственно). Оборот розничной торговли пищевыми продуктами, включая напитки, и табачными изделиями в первом полугодии текущего года вырос на 18,1%, а непродовольственными товарами - на 33,1% по сравнению с 1 полугодием 2021 года.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районе продолжился рост числа и расширение деятельности крупных предприятий эконом-класса, применяющих современную сетевую технологию: открыт дополнительно один магазин «Пятерочка», один магазин «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Fix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Price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».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итогам 2022 года ожидается, что оборот розничной торговли увеличится на 8,8% по сравнению с 2021 годом, на что в значительной степени повлияет рост потребительских цен (на 17,5% в соответствии с прогнозом социально-экономического развития Псковской области на 2023 год и 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плановый период 2024 и 2025 годов), снижение объемов продаж и реальных располагаемых денежных реальных доходов населения.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Сельское хозяйство.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территории района функционируют 22 свиноводческие площадки Великолукского агрохолдинга, осуществляют деятельность крестьянско-фермерские (КФХ) и личные подсобные хозяйства. Основу их деятельности составляет молочно-мясное направление. Работа отрасли растениеводства направлена на создание устойчивой кормовой базы. Деятельность фермерских хозяйств на селе является необходимым условием развития сельских территорий и организации сельскохозяйственного производства. Для развития малых форм хозяйствования среди населения района проводится информационная и консультативная работа.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конец июня 2022 года поголовье крупного рогатого скота в хозяйствах всех сельхозпроизводителей, по расчетам, составляло 811 голову (на 5,1% меньше по сравнению с аналогичной датой предыдущего года), из него коров – 499 голов (на 2,2% меньше), овец и коз – 1226 голов (на 12,7% меньше).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структуре поголовья скота на хозяйства населения приходилось 42,3% поголовья крупного рогатого скота и 54,6% коров (на конец июня 2021 года – 45,1% и 56,3% соответственно).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Строительство.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данным территориального органа Федеральной службы государственной статистики по Псковской области, в I полугодии 2022 года на территории района построено 16 квартир) (без учета квартир в жилых домах на участках для ведения садоводства – 14 квартир). Все жилье построено индивидуальными застройщиками.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1 полугодии 2022 года на территории района построено 16 квартир (или 2408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129,7% к АППГ) (с учетом жилых домов, построенных населением на земельных участках, предназначенных для ведения садоводства). В 2021 году данные показатели составляли – 50 квартир или 5145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кв.м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Все жилье и в 2021 и в 2022 годах построено населением.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Одним из приоритетных направлений развития Невельского района является создание благоприятного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инвестиционного климата.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Продолжающаяся газификация района способствует инвестиционной привлекательности территории. Проходит экспертизу проект по строительству газопровода дер. Иваново-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дер.Опухлики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дер.Чижевщина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дер.Гололобы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Псковской области. Подключение жилых домов частного сектора в 2022 году осуществляется на условиях технологического подключения к магистральному газопроводу в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в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д.Борки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в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д.Плиссы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Также ООО «Газпром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межрегионгаз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Псков» принимаются заявки на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догазификацию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индивидуальных жилых домов по поручению Президента РФ.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2022 году в Невельском районе реализован проект «Производство топливных дров на экспорт». Производство основано на переработке низкосортной лиственной древесины. Введенные в отношении Российской Федерации санкции негативно отразились на деятельности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экспортноориентированного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предприятия – возникли сложности со сбытом продукции.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В 2021 году на развитие экономики и социальной сферы организациями Невельского района использовано 521,4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. инвестиций в основной капитал, что в 1,7 раза меньше уровня капитальных вложений в 2020 году.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Ожидается, что в 2022 году объем инвестиций составит 575,6 </w:t>
      </w:r>
      <w:proofErr w:type="spellStart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Невельском районе на протяжении многих лет остается одной из самых сложных проблем социально-экономического развития. Численность населения МО «Невельский район» сокращается: на начало 2012г. – 25839 чел., на начало 2022г. – 21815 чел. (сокращение за 10 лет на 4024 чел. или на 15,6%).  Превышение числа смертей над числом рождений имеет историческую и геополитическую природу. Тенденция снижения численности населения в значительной степени связана с миграцией трудоспособного населения в крупные города, прежде все в Санкт-Петербург и Москву, а, следовательно, и высокой долей людей пожилого и старческого возраста.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начало 2022 года численность постоянного населения Невельского района составила 21815 чел., что на 474 чел. или на 2,1% меньше, чем на начало 2021 года.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январе-мае 2022 года в районе родилось 58 человек (за аналогичный период 2021 года 53 человека), число родившихся на 1000 населения составило 6,4 (в январе-мае 2021 – 5,8). За этот период в районе умерло 191 чел., число умерших на 1000 населения 21,2 (в январе-мае 2021г. – 24,3). Естественная убыль в расчете на 1000 населения за 5 месяцев 2022 года составила 14,8 чел.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январе-мае 2022 года число прибывших мигрантов в Невельский район составило 280 чел</w:t>
      </w:r>
      <w:r w:rsidR="00A636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(за аналогичный период прошлого года – 240 чел.), число выбывших за этот период составило 334 чел. (за аналогичный период прошлого года – 296 чел.) Миграционное снижение населения за анализируемый период составило 54 чел.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В результате естественных и миграционных процессов, согласно прогнозу, в 2022 году среднегодовая численность постоянного населения Невельского района составит 21602 чел.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Среднемесячная номинальная начисленная заработная плата работников организаций в январе-мае 2022 года в целом по району сложилась в размере 33334,4 рубля, что на 19,3% выше аналогичного периода 2021 года. Ожидается, что к концу 2022 года данный показатель составит 32693,0 руб. или 110,4 % к уровню 2021 года (29618 руб.). </w:t>
      </w:r>
    </w:p>
    <w:p w:rsidR="007F5E16" w:rsidRP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работников организаций (кроме субъектов малого и среднего предпринимательства) в январе-мае 2022 года составила 4050 человек или 91,7% от АППГ. На фоне снижения численности населения района роста среднесписочной численности работающих в 2022   году не ожидается, ожидаемая численность – 4320 чел. (96,7% к уровню 2021 года).</w:t>
      </w:r>
    </w:p>
    <w:p w:rsidR="007F5E16" w:rsidRDefault="007F5E16" w:rsidP="007F5E1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F5E16">
        <w:rPr>
          <w:rFonts w:ascii="Times New Roman" w:eastAsia="Times New Roman" w:hAnsi="Times New Roman" w:cs="Times New Roman"/>
          <w:sz w:val="28"/>
          <w:szCs w:val="28"/>
          <w:lang w:eastAsia="ru-RU"/>
        </w:rPr>
        <w:t>Численность официально зарегистрированных безработных на конец июня 2022 года составила 83 чел. или 76,9 % к АППГ.</w:t>
      </w:r>
    </w:p>
    <w:p w:rsidR="00A40EE2" w:rsidRPr="009B3FA9" w:rsidRDefault="00CE3E9D" w:rsidP="007F5E16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Прогноз социальн</w:t>
      </w:r>
      <w:r w:rsidR="00CA1E25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о-экономического</w:t>
      </w:r>
      <w:r w:rsidR="00A40EE2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</w:t>
      </w:r>
      <w:r w:rsidR="00CA1E25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азвития</w:t>
      </w:r>
    </w:p>
    <w:p w:rsidR="00A40EE2" w:rsidRPr="009B3FA9" w:rsidRDefault="00A40EE2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 образования «Невельский</w:t>
      </w:r>
      <w:r w:rsidR="00CA1E25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район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»</w:t>
      </w:r>
    </w:p>
    <w:p w:rsidR="00CE3E9D" w:rsidRPr="009B3FA9" w:rsidRDefault="00CE3E9D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 </w:t>
      </w:r>
      <w:r w:rsidR="00A40EE2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долгосрочный период до 202</w:t>
      </w:r>
      <w:r w:rsidR="009B3FA9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8</w:t>
      </w:r>
      <w:r w:rsidR="00A40EE2"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года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.</w:t>
      </w:r>
    </w:p>
    <w:p w:rsidR="00240BEC" w:rsidRPr="009B3FA9" w:rsidRDefault="00240BEC" w:rsidP="00C11A1A">
      <w:pPr>
        <w:spacing w:after="0"/>
        <w:ind w:firstLine="56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8C44BD" w:rsidRPr="009B3FA9" w:rsidRDefault="00E23137" w:rsidP="009B3FA9">
      <w:pPr>
        <w:tabs>
          <w:tab w:val="left" w:pos="720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Социально-экономическая политика МО «Н</w:t>
      </w:r>
      <w:r w:rsidR="00D55D0A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евельский район» в долгосрочной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перспективе будет проводиться на основе приоритетов, определенных в Стратегии социально-экономического развития </w:t>
      </w:r>
      <w:r w:rsidR="002C11C1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 «Невельский район» </w:t>
      </w:r>
      <w:r w:rsidR="009B3FA9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до </w:t>
      </w:r>
      <w:r w:rsidR="00B02636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2030 </w:t>
      </w:r>
      <w:r w:rsidR="008C44BD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год</w:t>
      </w:r>
      <w:r w:rsidR="009B3FA9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2C11C1"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   </w:t>
      </w:r>
    </w:p>
    <w:p w:rsidR="00E23137" w:rsidRPr="009B3FA9" w:rsidRDefault="00E23137" w:rsidP="009B3FA9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Основными </w:t>
      </w:r>
      <w:r w:rsidRPr="009B3FA9">
        <w:rPr>
          <w:rFonts w:ascii="Times New Roman" w:eastAsia="Calibri" w:hAnsi="Times New Roman" w:cs="Times New Roman"/>
          <w:sz w:val="28"/>
          <w:szCs w:val="28"/>
        </w:rPr>
        <w:t xml:space="preserve">приоритетами экономической политики в прогнозируемом периоде являются: 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инвестиционной привлекательности и формирование положительного имиджа района;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 управления финансово-бюджетной сферой, усиление роли консолидированного бюджета МО «Невельский район» как инструмента  экономической политики;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обеспечение эффективного использования природно-ресурсного потенциала;</w:t>
      </w:r>
    </w:p>
    <w:p w:rsidR="00E23137" w:rsidRPr="009B3FA9" w:rsidRDefault="00E23137" w:rsidP="009B3FA9">
      <w:pPr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увеличение вклада малого и среднего предпринимательства в развитие экономики Невельского района;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культурного и образовательного уровня населения;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рост реальных денежных доходов населения;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улучшение жилищных условий населения; 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развитие автомобильных дорог общего пользования местного значения;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повышение эффективности, устойчивости и надежности функционирования коммунальных систем жизнеобеспечения населения;</w:t>
      </w:r>
    </w:p>
    <w:p w:rsidR="00E23137" w:rsidRPr="009B3FA9" w:rsidRDefault="00E23137" w:rsidP="009B3FA9">
      <w:pPr>
        <w:keepNext/>
        <w:numPr>
          <w:ilvl w:val="0"/>
          <w:numId w:val="2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снижение преступности и повышение степени социальной безопасности населения.</w:t>
      </w:r>
    </w:p>
    <w:p w:rsid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связи с существенным изменением в 2022 году внешних и внутренних условий развития экономики траектория развития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перспективе характеризуется повышенной степенью неопределенности.  Социально-экономическое развитие МО «Невельский район» в планируемый период во многом будет определяться реализацией системных решений и приоритетов на федеральном и областном уровнях.</w:t>
      </w:r>
    </w:p>
    <w:p w:rsidR="009B3FA9" w:rsidRP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долгосрочной перспективе функционирование 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промышленного потенциала</w:t>
      </w:r>
      <w:r w:rsidRPr="009B3FA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будет определяться преимущественно динамикой спроса.</w:t>
      </w:r>
    </w:p>
    <w:p w:rsidR="009B3FA9" w:rsidRP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Основными проблемами промышленных предприятий района остаются высокая энергоемкость производства, дефицит квалифицированных кадров, высокая стоимость энергоресурсов.</w:t>
      </w:r>
    </w:p>
    <w:p w:rsidR="009B3FA9" w:rsidRPr="009B3FA9" w:rsidRDefault="009B3FA9" w:rsidP="009B3FA9">
      <w:pPr>
        <w:shd w:val="clear" w:color="auto" w:fill="FFFFFF"/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Стабилизация и увеличение промышленного производства возможна при обеспечении стабильной работой ведущих предприятия района, увеличением объемов производства вследствие проведения реконструкции и модернизации оборудования, </w:t>
      </w:r>
      <w:proofErr w:type="spellStart"/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импеортозамещения</w:t>
      </w:r>
      <w:proofErr w:type="spellEnd"/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технического перевооружения, ввода новых мощностей, внедрения энергосберегающих технологий, расширения </w:t>
      </w: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рынков сбыта и диверсификации производимой продукции, реализацией на территории района крупных инвестиционных проектов.   </w:t>
      </w:r>
    </w:p>
    <w:p w:rsidR="009B3FA9" w:rsidRDefault="009B3FA9" w:rsidP="007A6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B3FA9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анализа мониторинга тенденций, сложившихся в промышленности Невельского района, в 2022 году ожидается снижение объемов отгруженных товаров собственного производства на 1,8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%.  В 202</w:t>
      </w:r>
      <w:r w:rsidR="007A67FE"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предполагается отгрузить товаров собственного производства, выполнить работы и услуги собственными силами на сумму свыше </w:t>
      </w:r>
      <w:r w:rsidR="007A67FE"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25,6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млрд.руб</w:t>
      </w:r>
      <w:proofErr w:type="spellEnd"/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. (1</w:t>
      </w:r>
      <w:r w:rsidR="007A67FE"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17,3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% к уровню 2021 года).</w:t>
      </w:r>
    </w:p>
    <w:p w:rsidR="00FF0437" w:rsidRPr="00FF0437" w:rsidRDefault="00FF0437" w:rsidP="00FF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Все принимаемые меры по развитию </w:t>
      </w:r>
      <w:r w:rsidRPr="00FF0437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малого и среднего предпринимательства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позволяют прогнозировать лишь стабилизацию и незначительное увеличение количества субъектов малого и среднего предпринимательства, а, следовательно, и увеличение численности занятого в малом и среднем предпринимательстве населения. </w:t>
      </w:r>
    </w:p>
    <w:p w:rsidR="00FF0437" w:rsidRPr="007A67FE" w:rsidRDefault="00FF0437" w:rsidP="00FF0437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прогнозу, к 2025 году общее количество субъектов МСП составит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>45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5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ед. (по базовому варианту). Специализация субъектов МСП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</w:t>
      </w:r>
      <w:r w:rsidRPr="00FF04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перспективе существенно не изменится.</w:t>
      </w:r>
    </w:p>
    <w:p w:rsidR="007A67FE" w:rsidRPr="007A67FE" w:rsidRDefault="007A67FE" w:rsidP="007A6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</w:t>
      </w:r>
      <w:r w:rsidRPr="007A67FE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сельского хозяйства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 период до 202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 отражает развитие отрасли при проведении мероприятий, направленных на реализацию активной государственной политики по улучшению инвестиционного климата, на стимулирование экономического роста и модернизации, а также на повышение эффективности расходования бюджетных средств.</w:t>
      </w:r>
    </w:p>
    <w:p w:rsidR="007A67FE" w:rsidRDefault="007A67FE" w:rsidP="007A67FE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 период </w:t>
      </w:r>
      <w:r w:rsidR="00B52B17"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долгосрочной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перспективы характерным останется увеличение объемов производства скота в </w:t>
      </w:r>
      <w:r w:rsidR="00B52B1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живом весе, в основном, свинины. Также за счет развития фермерских хозяйств и личных подсобных хозяйств прогнозируется небольшой рост объемов </w:t>
      </w:r>
      <w:r w:rsidRPr="007A67FE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производства молока, яиц, картофеля и овощей.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Инвестиции.</w:t>
      </w: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Прогнозируется, что при улучшении макроэкономической ситуации будет наблюдаться сдержанный рост потока средств, направляемых на обновление основных фондов предприятий Невельского района. 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запланировано строительство трех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блочно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-модульных котельных:  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№ 13, расположенной по адресу г. Невель, 2-й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пер.Урицкого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№ 14, расположенных в г. Невель,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ул.Горького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возле д.96,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№ 6, расположенной в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г.Невель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, пер. Войкова, д 1а.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Планируемый объем инвестиций составит не менее 150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После завершения экспертизы проекта, в рамках Программы развития газоснабжения и газификации Псковской области на 2021-2025 годы начнется реализация мероприятия «Строительство газопровода межпоселкового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дер.Иваново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дер.Опухлики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 отводами на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дер.Чижевщина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–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дер.Гололобы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Псковской области». Строительство данного газопровода позволит обеспечить подключение к природному газу следующие социальные объекты: оздоровительный центр в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дер.Крупевицы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санаторий «Голубые озера»,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Опухликовская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школа и жилищный фонд. Также это позволит перевести к 2025 году на природный газ две котельные в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д.Чижевщина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Прогнозируется, что объем инвестиций, направленных на строительство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блочно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-модульных котельных, составит не менее 100,0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C4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408B3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Еще одну БМК планируется построить в </w:t>
      </w:r>
      <w:proofErr w:type="spellStart"/>
      <w:r w:rsidR="00C408B3">
        <w:rPr>
          <w:rFonts w:ascii="Times New Roman" w:eastAsia="Times New Roman" w:hAnsi="Times New Roman" w:cs="Times New Roman"/>
          <w:sz w:val="28"/>
          <w:szCs w:val="28"/>
          <w:lang w:eastAsia="ru-RU"/>
        </w:rPr>
        <w:t>д.Лехово</w:t>
      </w:r>
      <w:proofErr w:type="spellEnd"/>
      <w:r w:rsidR="00C408B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2026 году, объем инвестиций в действующих ценах – не менее 50 </w:t>
      </w:r>
      <w:proofErr w:type="spellStart"/>
      <w:r w:rsidR="00C408B3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C408B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Программе развития газоснабжения и газификации Псковской области на период 2021-2025 годы в 2022 году начато проектирование следующих объектов: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1)</w:t>
      </w:r>
      <w:r w:rsidR="00A6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«Газопровод межпоселковый к 6 площадкам ООО «ВСК» Невельского района Псковской области»;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2)</w:t>
      </w:r>
      <w:r w:rsidR="00A6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«Газопровод межпоселковый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дер.Лехово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Невельского района – 6 площадок ООО «ВСК» -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пос.Усвяты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Усвятского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Псковской области»;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3)</w:t>
      </w: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>«Газопровод-связка распределительный между ГРС Великие Луки и ГРС Новосокольники Псковской области» (предполагается строительство объекта на территории Артемовской волости Невельского района).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Предприятиями Великолукского агропромышленного комплекса планируется проведение ряда инвестиционных мероприятий: 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- комбикормовый завод в феврале 2024 году планирует завершить реконструкцию производственного элеватора емкостью хранения 152700 тонн с линиями по производству кормов;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ООО «ВСГЦ» в 2023 году планирует завершить строительство административно-бытового комплекса, а также корпус опороса № 4. </w:t>
      </w:r>
    </w:p>
    <w:p w:rsidR="00D21460" w:rsidRPr="00D21460" w:rsidRDefault="00D21460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 2023 году планируется завершить строительство нового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ФАПа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д.Опухлики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взамен старого. Объем инвестиций составит 9,1 </w:t>
      </w:r>
      <w:proofErr w:type="spellStart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. Это позволит осуществлять деятельность в условиях, отвечающих современным стандартам оказания медицинских услуг. ФАП будет обслуживать население численностью более 200 человек.</w:t>
      </w:r>
    </w:p>
    <w:p w:rsidR="00D21460" w:rsidRDefault="00C408B3" w:rsidP="00D21460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 2028</w:t>
      </w:r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году, согласно базовому варианту прогноза, объем инвестиций составит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809,0</w:t>
      </w:r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при среднем росте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4,0</w:t>
      </w:r>
      <w:r w:rsidR="00D21460" w:rsidRPr="00D21460">
        <w:rPr>
          <w:rFonts w:ascii="Times New Roman" w:eastAsia="Times New Roman" w:hAnsi="Times New Roman" w:cs="Times New Roman"/>
          <w:sz w:val="28"/>
          <w:szCs w:val="28"/>
          <w:lang w:eastAsia="ru-RU"/>
        </w:rPr>
        <w:t>-5,9%.</w:t>
      </w:r>
    </w:p>
    <w:p w:rsidR="000E3380" w:rsidRPr="00923376" w:rsidRDefault="00882D1D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u w:val="single"/>
          <w:lang w:eastAsia="ru-RU"/>
        </w:rPr>
        <w:t>Потребительский рынок района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 - динамично развивающаяся и экономически эффективная отрасль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 общероссийским тенденциям, прогнозируется уровень среднегодовой потребительской инфляции в пределах 4,0-6,3%. Потребительский спрос будет поддержан ростом реальных доходов населения, индексацией социальных выплат, оживлением кредитования. Ожидается, что к 202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8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году оборот розничной торговли увеличится по отношению к 2021 году более чем на 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56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% (по базовому варианту) и составит 3</w:t>
      </w:r>
      <w:r w:rsidR="00923376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442,0</w:t>
      </w:r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spellStart"/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млн.руб</w:t>
      </w:r>
      <w:proofErr w:type="spellEnd"/>
      <w:r w:rsidR="000E3380"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D47933" w:rsidRPr="00923376" w:rsidRDefault="00D47933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Прогноз развития </w:t>
      </w:r>
      <w:r w:rsidRPr="00923376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отраслей социальной сферы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нацелен на реализацию муниципальных программ в образовании, культуре, на решение проблем функционирования отраслей социальной сферы и создание условий для удовлетворения потребностей всего населения района.</w:t>
      </w:r>
    </w:p>
    <w:p w:rsidR="00923376" w:rsidRPr="00923376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Развитие сети муниципальных учреждений социальной сферы в прогнозный период будет определяться в соответствии с национальными целями, определенными Указами Президента РФ от 07.05.2018 № 204 «О национальных целях и стратегических задачах развития Российской Федерации на период до 2024 года» и от 21.07.2020 № 474 «О национальных целях развития Российской Федерации на период до 2030 года». Также основные направления развития определены Стратегией социально-экономического 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развития муниципального образования «Невельский район» до 2030 года, утвержденной решением Собрания депутатов Невельского района от  28.07.2020 № 391, муниципальными программами «Развитие образования в муниципальном образовании «Невельский район», «Развитие культуры в муниципальном образовании «Невельский район», «Развитие молодежной политики, физической культуры и спорта в муниципальном образовании «Невельский район».</w:t>
      </w:r>
    </w:p>
    <w:p w:rsidR="00923376" w:rsidRPr="00923376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>В Невельском районе осуществляют деятельность два учреждения культуры (МБУК «Культура и досуг» с сетью структурных подразделений на селе и МБУ «Музей истории Невеля»), 6 общеобразовательных учреждений с филиалами (4 школы в городе, 6 школ на селе), 1 дошкольное учреждение и 3 дошкольные группы полного дня, функционирующие на базе сельских школ, 2 учреждения дополнительного образования (в сфере культуры и в сфере физической культуры и спорта), 1 учреждение, осуществляющее деятельность  в области спорта.</w:t>
      </w:r>
    </w:p>
    <w:p w:rsidR="00923376" w:rsidRPr="007F5E16" w:rsidRDefault="00923376" w:rsidP="006F63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highlight w:val="yellow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 долгосрочную</w:t>
      </w:r>
      <w:r w:rsidRPr="0092337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перспективу планируется сохранить имеющуюся сеть муниципальных учреждений социальной сферы и их структурных подразделений.</w:t>
      </w:r>
    </w:p>
    <w:p w:rsidR="006F6388" w:rsidRDefault="00923376" w:rsidP="006F6388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F51A83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Демографическая ситуация.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В целом по Невельскому району в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долгосрочный</w:t>
      </w:r>
      <w:r w:rsidRPr="00F51A8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период доминирующей тенденцией остается снижение численности населения, определяемое естественной убылью. </w:t>
      </w:r>
      <w:r w:rsidR="006F6388" w:rsidRPr="006F6388">
        <w:rPr>
          <w:rFonts w:ascii="Times New Roman" w:hAnsi="Times New Roman" w:cs="Times New Roman"/>
          <w:sz w:val="28"/>
          <w:szCs w:val="28"/>
        </w:rPr>
        <w:t xml:space="preserve">В результате естественных и миграционных процессов среднегодовая численность постоянного населения в 2028 году по сравнению с 2021 годом сократится на </w:t>
      </w:r>
      <w:r w:rsidR="006F6388">
        <w:rPr>
          <w:rFonts w:ascii="Times New Roman" w:hAnsi="Times New Roman" w:cs="Times New Roman"/>
          <w:sz w:val="28"/>
          <w:szCs w:val="28"/>
        </w:rPr>
        <w:t>13,2</w:t>
      </w:r>
      <w:r w:rsidR="006F6388" w:rsidRPr="006F6388">
        <w:rPr>
          <w:rFonts w:ascii="Times New Roman" w:hAnsi="Times New Roman" w:cs="Times New Roman"/>
          <w:sz w:val="28"/>
          <w:szCs w:val="28"/>
        </w:rPr>
        <w:t xml:space="preserve"> % и составит по базовому варианту 19135 чел. Согласно прогнозу, естественная убыль населения к 2028 году составит 17,4 на 1 000 населения</w:t>
      </w:r>
      <w:r w:rsidR="006F6388">
        <w:rPr>
          <w:rFonts w:ascii="Times New Roman" w:hAnsi="Times New Roman" w:cs="Times New Roman"/>
          <w:sz w:val="28"/>
          <w:szCs w:val="28"/>
        </w:rPr>
        <w:t>.</w:t>
      </w:r>
    </w:p>
    <w:p w:rsidR="008B6474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b/>
          <w:sz w:val="28"/>
          <w:szCs w:val="28"/>
          <w:u w:val="single"/>
          <w:lang w:eastAsia="ru-RU"/>
        </w:rPr>
        <w:t>Труд и занятость.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Ситуация в сфере занятости и на рынке труда в прогнозируемый период будет складываться в зависимости от демографических показателей. В этих условиях, с учетом одного из самых низких в России уровня заработной платы и неблагоприятной демографической ситуации, даже при снижении уровня общей безработицы будет происходить постепенное снижение численности рабочей силы. </w:t>
      </w:r>
    </w:p>
    <w:p w:rsidR="008B6474" w:rsidRDefault="008B6474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Согласно</w:t>
      </w:r>
      <w:r w:rsidR="00A6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прогнозу</w:t>
      </w:r>
      <w:r w:rsidR="00A636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среднесписочная численность работающих в Невельском районе к 2028 году по сравнению с 2021 годом уменьшится на 349 чел. и составит 4120 чел. Уровень общей безработицы при этом может составить 0,5% к рабочей силе.</w:t>
      </w:r>
    </w:p>
    <w:p w:rsidR="00923376" w:rsidRPr="004F7262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В среднесрочной перспективе предполагается рост номинальной начисленной заработной платы</w:t>
      </w:r>
      <w:r w:rsidR="008B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Среднегодовой темп </w:t>
      </w:r>
      <w:r w:rsidR="003262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роста до 2028 года составит </w:t>
      </w:r>
      <w:r w:rsidR="006665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7,3%. 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 концу прогнозного периода номинальная заработная плата сложится на уровне </w:t>
      </w:r>
      <w:r w:rsidR="008B6474">
        <w:rPr>
          <w:rFonts w:ascii="Times New Roman" w:eastAsia="Times New Roman" w:hAnsi="Times New Roman" w:cs="Times New Roman"/>
          <w:sz w:val="28"/>
          <w:szCs w:val="28"/>
          <w:lang w:eastAsia="ru-RU"/>
        </w:rPr>
        <w:t>50013,0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руб. и вырастет на </w:t>
      </w:r>
      <w:r w:rsidR="008B64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68,9 </w:t>
      </w: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% к уровню 2021 года. </w:t>
      </w:r>
    </w:p>
    <w:p w:rsidR="00923376" w:rsidRPr="00D34E1F" w:rsidRDefault="00923376" w:rsidP="00923376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F7262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 целевых категорий работников бюджетной сферы в прогнозируемом периоде предполагается сохранение достигнутых соотношений заработной платы к доходу от трудовой деятельности.</w:t>
      </w:r>
    </w:p>
    <w:p w:rsidR="00923376" w:rsidRPr="00CE3E9D" w:rsidRDefault="00923376" w:rsidP="00C11A1A">
      <w:pPr>
        <w:ind w:firstLine="567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0" w:name="_GoBack"/>
      <w:bookmarkEnd w:id="0"/>
    </w:p>
    <w:sectPr w:rsidR="00923376" w:rsidRPr="00CE3E9D" w:rsidSect="007F5E16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451380C"/>
    <w:multiLevelType w:val="hybridMultilevel"/>
    <w:tmpl w:val="AD820A4E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8F7D53"/>
    <w:multiLevelType w:val="hybridMultilevel"/>
    <w:tmpl w:val="60A63244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 w15:restartNumberingAfterBreak="0">
    <w:nsid w:val="199A54D7"/>
    <w:multiLevelType w:val="hybridMultilevel"/>
    <w:tmpl w:val="2A624A9C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" w15:restartNumberingAfterBreak="0">
    <w:nsid w:val="33771935"/>
    <w:multiLevelType w:val="hybridMultilevel"/>
    <w:tmpl w:val="5A8E809A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8C3A4B"/>
    <w:multiLevelType w:val="hybridMultilevel"/>
    <w:tmpl w:val="3AAC5BAA"/>
    <w:lvl w:ilvl="0" w:tplc="04190011">
      <w:start w:val="1"/>
      <w:numFmt w:val="decimal"/>
      <w:lvlText w:val="%1)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5" w15:restartNumberingAfterBreak="0">
    <w:nsid w:val="33D54322"/>
    <w:multiLevelType w:val="hybridMultilevel"/>
    <w:tmpl w:val="5E08DA54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6" w15:restartNumberingAfterBreak="0">
    <w:nsid w:val="35123D63"/>
    <w:multiLevelType w:val="hybridMultilevel"/>
    <w:tmpl w:val="754C5200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38BA008D"/>
    <w:multiLevelType w:val="hybridMultilevel"/>
    <w:tmpl w:val="4AC4B7CC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 w15:restartNumberingAfterBreak="0">
    <w:nsid w:val="3A7F6CFA"/>
    <w:multiLevelType w:val="hybridMultilevel"/>
    <w:tmpl w:val="E5848848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E852725"/>
    <w:multiLevelType w:val="hybridMultilevel"/>
    <w:tmpl w:val="E92E3E68"/>
    <w:lvl w:ilvl="0" w:tplc="802CA812">
      <w:start w:val="1"/>
      <w:numFmt w:val="bullet"/>
      <w:lvlText w:val=""/>
      <w:lvlJc w:val="left"/>
      <w:pPr>
        <w:ind w:left="1429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0" w15:restartNumberingAfterBreak="0">
    <w:nsid w:val="4409629D"/>
    <w:multiLevelType w:val="hybridMultilevel"/>
    <w:tmpl w:val="30CA3A8E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4B4674E7"/>
    <w:multiLevelType w:val="hybridMultilevel"/>
    <w:tmpl w:val="0E702924"/>
    <w:lvl w:ilvl="0" w:tplc="0419000F">
      <w:start w:val="1"/>
      <w:numFmt w:val="decimal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2" w15:restartNumberingAfterBreak="0">
    <w:nsid w:val="4C2C0091"/>
    <w:multiLevelType w:val="hybridMultilevel"/>
    <w:tmpl w:val="F0CC52E8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3" w15:restartNumberingAfterBreak="0">
    <w:nsid w:val="4DC3086A"/>
    <w:multiLevelType w:val="hybridMultilevel"/>
    <w:tmpl w:val="D76E0FBE"/>
    <w:lvl w:ilvl="0" w:tplc="0419000F">
      <w:start w:val="1"/>
      <w:numFmt w:val="decimal"/>
      <w:lvlText w:val="%1."/>
      <w:lvlJc w:val="left"/>
      <w:pPr>
        <w:ind w:left="1287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 w15:restartNumberingAfterBreak="0">
    <w:nsid w:val="4E652D50"/>
    <w:multiLevelType w:val="hybridMultilevel"/>
    <w:tmpl w:val="487655AA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564B5121"/>
    <w:multiLevelType w:val="hybridMultilevel"/>
    <w:tmpl w:val="507403DE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 w15:restartNumberingAfterBreak="0">
    <w:nsid w:val="597C2369"/>
    <w:multiLevelType w:val="hybridMultilevel"/>
    <w:tmpl w:val="7AE049E0"/>
    <w:lvl w:ilvl="0" w:tplc="0419000F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7" w15:restartNumberingAfterBreak="0">
    <w:nsid w:val="5A023EFA"/>
    <w:multiLevelType w:val="hybridMultilevel"/>
    <w:tmpl w:val="91D65E8A"/>
    <w:lvl w:ilvl="0" w:tplc="10669EA2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 w15:restartNumberingAfterBreak="0">
    <w:nsid w:val="600C6455"/>
    <w:multiLevelType w:val="hybridMultilevel"/>
    <w:tmpl w:val="A946662A"/>
    <w:lvl w:ilvl="0" w:tplc="04190011">
      <w:start w:val="1"/>
      <w:numFmt w:val="decimal"/>
      <w:lvlText w:val="%1)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622D2384"/>
    <w:multiLevelType w:val="hybridMultilevel"/>
    <w:tmpl w:val="94F03DC6"/>
    <w:lvl w:ilvl="0" w:tplc="802CA812">
      <w:start w:val="1"/>
      <w:numFmt w:val="bullet"/>
      <w:lvlText w:val="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747A33E6"/>
    <w:multiLevelType w:val="hybridMultilevel"/>
    <w:tmpl w:val="74C4E106"/>
    <w:lvl w:ilvl="0" w:tplc="802CA812">
      <w:start w:val="1"/>
      <w:numFmt w:val="bullet"/>
      <w:lvlText w:val="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7E4E4210"/>
    <w:multiLevelType w:val="hybridMultilevel"/>
    <w:tmpl w:val="5F326FE4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7"/>
  </w:num>
  <w:num w:numId="2">
    <w:abstractNumId w:val="10"/>
  </w:num>
  <w:num w:numId="3">
    <w:abstractNumId w:val="19"/>
  </w:num>
  <w:num w:numId="4">
    <w:abstractNumId w:val="13"/>
  </w:num>
  <w:num w:numId="5">
    <w:abstractNumId w:val="12"/>
  </w:num>
  <w:num w:numId="6">
    <w:abstractNumId w:val="15"/>
  </w:num>
  <w:num w:numId="7">
    <w:abstractNumId w:val="7"/>
  </w:num>
  <w:num w:numId="8">
    <w:abstractNumId w:val="9"/>
  </w:num>
  <w:num w:numId="9">
    <w:abstractNumId w:val="16"/>
  </w:num>
  <w:num w:numId="10">
    <w:abstractNumId w:val="11"/>
  </w:num>
  <w:num w:numId="11">
    <w:abstractNumId w:val="1"/>
  </w:num>
  <w:num w:numId="12">
    <w:abstractNumId w:val="4"/>
  </w:num>
  <w:num w:numId="13">
    <w:abstractNumId w:val="18"/>
  </w:num>
  <w:num w:numId="14">
    <w:abstractNumId w:val="0"/>
  </w:num>
  <w:num w:numId="15">
    <w:abstractNumId w:val="2"/>
  </w:num>
  <w:num w:numId="16">
    <w:abstractNumId w:val="5"/>
  </w:num>
  <w:num w:numId="17">
    <w:abstractNumId w:val="14"/>
  </w:num>
  <w:num w:numId="18">
    <w:abstractNumId w:val="3"/>
  </w:num>
  <w:num w:numId="19">
    <w:abstractNumId w:val="21"/>
  </w:num>
  <w:num w:numId="20">
    <w:abstractNumId w:val="6"/>
  </w:num>
  <w:num w:numId="21">
    <w:abstractNumId w:val="8"/>
  </w:num>
  <w:num w:numId="22">
    <w:abstractNumId w:val="2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7902"/>
    <w:rsid w:val="00003AC9"/>
    <w:rsid w:val="000173F0"/>
    <w:rsid w:val="00020C3E"/>
    <w:rsid w:val="00021091"/>
    <w:rsid w:val="00047C5E"/>
    <w:rsid w:val="000518B8"/>
    <w:rsid w:val="000572D8"/>
    <w:rsid w:val="00065D39"/>
    <w:rsid w:val="00070952"/>
    <w:rsid w:val="00070966"/>
    <w:rsid w:val="00081B82"/>
    <w:rsid w:val="00086810"/>
    <w:rsid w:val="00095DB9"/>
    <w:rsid w:val="000A1828"/>
    <w:rsid w:val="000A7322"/>
    <w:rsid w:val="000B28E7"/>
    <w:rsid w:val="000B6B48"/>
    <w:rsid w:val="000C2301"/>
    <w:rsid w:val="000C3CA0"/>
    <w:rsid w:val="000C77A9"/>
    <w:rsid w:val="000D78FF"/>
    <w:rsid w:val="000E0572"/>
    <w:rsid w:val="000E059D"/>
    <w:rsid w:val="000E3380"/>
    <w:rsid w:val="000E434B"/>
    <w:rsid w:val="000F5DE0"/>
    <w:rsid w:val="000F63B6"/>
    <w:rsid w:val="00105A45"/>
    <w:rsid w:val="00112805"/>
    <w:rsid w:val="001347AA"/>
    <w:rsid w:val="00142F38"/>
    <w:rsid w:val="00145F1D"/>
    <w:rsid w:val="00150D0D"/>
    <w:rsid w:val="001607BB"/>
    <w:rsid w:val="001671F0"/>
    <w:rsid w:val="0018759F"/>
    <w:rsid w:val="001A4B0E"/>
    <w:rsid w:val="001B110A"/>
    <w:rsid w:val="001B17AE"/>
    <w:rsid w:val="001C61BF"/>
    <w:rsid w:val="001E2A66"/>
    <w:rsid w:val="001E65C3"/>
    <w:rsid w:val="001F102A"/>
    <w:rsid w:val="001F16B6"/>
    <w:rsid w:val="00211359"/>
    <w:rsid w:val="00213633"/>
    <w:rsid w:val="002238DC"/>
    <w:rsid w:val="00224804"/>
    <w:rsid w:val="002353E8"/>
    <w:rsid w:val="0024001C"/>
    <w:rsid w:val="00240BEC"/>
    <w:rsid w:val="0024155D"/>
    <w:rsid w:val="002423B2"/>
    <w:rsid w:val="0027147E"/>
    <w:rsid w:val="002731CF"/>
    <w:rsid w:val="00283221"/>
    <w:rsid w:val="00290DD7"/>
    <w:rsid w:val="00293B49"/>
    <w:rsid w:val="002B7A14"/>
    <w:rsid w:val="002C11C1"/>
    <w:rsid w:val="002C4766"/>
    <w:rsid w:val="002D3370"/>
    <w:rsid w:val="002E0E2D"/>
    <w:rsid w:val="002E433F"/>
    <w:rsid w:val="002E5A05"/>
    <w:rsid w:val="002E643E"/>
    <w:rsid w:val="002F6B0F"/>
    <w:rsid w:val="002F7DD1"/>
    <w:rsid w:val="00306CB1"/>
    <w:rsid w:val="00324D7F"/>
    <w:rsid w:val="003262DD"/>
    <w:rsid w:val="00333E3C"/>
    <w:rsid w:val="00337627"/>
    <w:rsid w:val="00337FF3"/>
    <w:rsid w:val="003418FC"/>
    <w:rsid w:val="0035556C"/>
    <w:rsid w:val="00363B9E"/>
    <w:rsid w:val="003742FD"/>
    <w:rsid w:val="00382A46"/>
    <w:rsid w:val="003914F7"/>
    <w:rsid w:val="003972C1"/>
    <w:rsid w:val="003977AF"/>
    <w:rsid w:val="003B2B1A"/>
    <w:rsid w:val="003B3469"/>
    <w:rsid w:val="003C1C8C"/>
    <w:rsid w:val="003C27F0"/>
    <w:rsid w:val="003D49A6"/>
    <w:rsid w:val="003E21AE"/>
    <w:rsid w:val="00400F6F"/>
    <w:rsid w:val="00401077"/>
    <w:rsid w:val="0041152E"/>
    <w:rsid w:val="00444F02"/>
    <w:rsid w:val="00446FA6"/>
    <w:rsid w:val="0046399B"/>
    <w:rsid w:val="00463D85"/>
    <w:rsid w:val="004844C4"/>
    <w:rsid w:val="0048708E"/>
    <w:rsid w:val="004956A9"/>
    <w:rsid w:val="00497DD4"/>
    <w:rsid w:val="004C3123"/>
    <w:rsid w:val="004C3CBE"/>
    <w:rsid w:val="004C7EF9"/>
    <w:rsid w:val="004D1915"/>
    <w:rsid w:val="004D2ADC"/>
    <w:rsid w:val="004D550B"/>
    <w:rsid w:val="004D74FD"/>
    <w:rsid w:val="004D790D"/>
    <w:rsid w:val="004E44EA"/>
    <w:rsid w:val="004F6E85"/>
    <w:rsid w:val="0052375D"/>
    <w:rsid w:val="00527D26"/>
    <w:rsid w:val="00530983"/>
    <w:rsid w:val="005431BB"/>
    <w:rsid w:val="00555B19"/>
    <w:rsid w:val="00566571"/>
    <w:rsid w:val="00581762"/>
    <w:rsid w:val="00592DF7"/>
    <w:rsid w:val="005A27E6"/>
    <w:rsid w:val="005A3B73"/>
    <w:rsid w:val="005A4849"/>
    <w:rsid w:val="005A5BC0"/>
    <w:rsid w:val="005B133A"/>
    <w:rsid w:val="005D3068"/>
    <w:rsid w:val="005D4FD4"/>
    <w:rsid w:val="005E0787"/>
    <w:rsid w:val="005E629A"/>
    <w:rsid w:val="005E62FB"/>
    <w:rsid w:val="005E7F7C"/>
    <w:rsid w:val="006143CF"/>
    <w:rsid w:val="0061495F"/>
    <w:rsid w:val="00617805"/>
    <w:rsid w:val="00621909"/>
    <w:rsid w:val="006373D3"/>
    <w:rsid w:val="006433D3"/>
    <w:rsid w:val="0064432D"/>
    <w:rsid w:val="00651316"/>
    <w:rsid w:val="00653BE7"/>
    <w:rsid w:val="0066183C"/>
    <w:rsid w:val="006665E0"/>
    <w:rsid w:val="00690971"/>
    <w:rsid w:val="0069609F"/>
    <w:rsid w:val="006C0CA0"/>
    <w:rsid w:val="006C4E0D"/>
    <w:rsid w:val="006D4959"/>
    <w:rsid w:val="006E6223"/>
    <w:rsid w:val="006E7073"/>
    <w:rsid w:val="006F037C"/>
    <w:rsid w:val="006F6388"/>
    <w:rsid w:val="00714F02"/>
    <w:rsid w:val="00720771"/>
    <w:rsid w:val="0072589E"/>
    <w:rsid w:val="00731699"/>
    <w:rsid w:val="00733EF9"/>
    <w:rsid w:val="00742BB3"/>
    <w:rsid w:val="007546B7"/>
    <w:rsid w:val="0076113A"/>
    <w:rsid w:val="00765869"/>
    <w:rsid w:val="0077183D"/>
    <w:rsid w:val="007736DD"/>
    <w:rsid w:val="00774939"/>
    <w:rsid w:val="00775FE3"/>
    <w:rsid w:val="00776BB2"/>
    <w:rsid w:val="007847BE"/>
    <w:rsid w:val="00792454"/>
    <w:rsid w:val="007A67FE"/>
    <w:rsid w:val="007A7ECA"/>
    <w:rsid w:val="007B1C66"/>
    <w:rsid w:val="007C1241"/>
    <w:rsid w:val="007C3662"/>
    <w:rsid w:val="007D276C"/>
    <w:rsid w:val="007D4EF1"/>
    <w:rsid w:val="007D5156"/>
    <w:rsid w:val="007D564E"/>
    <w:rsid w:val="007E6C6D"/>
    <w:rsid w:val="007F5E16"/>
    <w:rsid w:val="00801319"/>
    <w:rsid w:val="00806BD1"/>
    <w:rsid w:val="008070C6"/>
    <w:rsid w:val="00827658"/>
    <w:rsid w:val="00853E00"/>
    <w:rsid w:val="00862F37"/>
    <w:rsid w:val="00864817"/>
    <w:rsid w:val="00870350"/>
    <w:rsid w:val="00873881"/>
    <w:rsid w:val="008766C0"/>
    <w:rsid w:val="00882D1D"/>
    <w:rsid w:val="00893A8E"/>
    <w:rsid w:val="008A377A"/>
    <w:rsid w:val="008A6BBC"/>
    <w:rsid w:val="008B0D5C"/>
    <w:rsid w:val="008B6474"/>
    <w:rsid w:val="008C44BD"/>
    <w:rsid w:val="008D2F53"/>
    <w:rsid w:val="008E14BC"/>
    <w:rsid w:val="008E19F6"/>
    <w:rsid w:val="008E59F9"/>
    <w:rsid w:val="008F1495"/>
    <w:rsid w:val="008F5F3D"/>
    <w:rsid w:val="009176A4"/>
    <w:rsid w:val="00923376"/>
    <w:rsid w:val="0093341F"/>
    <w:rsid w:val="0094368B"/>
    <w:rsid w:val="00951F69"/>
    <w:rsid w:val="00952ABC"/>
    <w:rsid w:val="00955B34"/>
    <w:rsid w:val="00955F97"/>
    <w:rsid w:val="00962886"/>
    <w:rsid w:val="0097117D"/>
    <w:rsid w:val="009714E8"/>
    <w:rsid w:val="0097372F"/>
    <w:rsid w:val="00984CDC"/>
    <w:rsid w:val="00987E8B"/>
    <w:rsid w:val="00997BC1"/>
    <w:rsid w:val="009A1F20"/>
    <w:rsid w:val="009A4D08"/>
    <w:rsid w:val="009A52C2"/>
    <w:rsid w:val="009B2579"/>
    <w:rsid w:val="009B3FA9"/>
    <w:rsid w:val="009B76F5"/>
    <w:rsid w:val="009D2B05"/>
    <w:rsid w:val="009D4963"/>
    <w:rsid w:val="009F22B8"/>
    <w:rsid w:val="00A00928"/>
    <w:rsid w:val="00A12338"/>
    <w:rsid w:val="00A12D12"/>
    <w:rsid w:val="00A2716D"/>
    <w:rsid w:val="00A27EA3"/>
    <w:rsid w:val="00A31774"/>
    <w:rsid w:val="00A31F00"/>
    <w:rsid w:val="00A40EE2"/>
    <w:rsid w:val="00A47424"/>
    <w:rsid w:val="00A474F4"/>
    <w:rsid w:val="00A5315A"/>
    <w:rsid w:val="00A636B8"/>
    <w:rsid w:val="00A6748D"/>
    <w:rsid w:val="00A71B7C"/>
    <w:rsid w:val="00A72052"/>
    <w:rsid w:val="00A83D66"/>
    <w:rsid w:val="00A8630D"/>
    <w:rsid w:val="00A903E8"/>
    <w:rsid w:val="00A935E0"/>
    <w:rsid w:val="00AB48CC"/>
    <w:rsid w:val="00AC38E3"/>
    <w:rsid w:val="00AD5377"/>
    <w:rsid w:val="00AD65F6"/>
    <w:rsid w:val="00AE1D03"/>
    <w:rsid w:val="00AF155D"/>
    <w:rsid w:val="00AF2CB7"/>
    <w:rsid w:val="00AF540A"/>
    <w:rsid w:val="00B02636"/>
    <w:rsid w:val="00B0491B"/>
    <w:rsid w:val="00B07C60"/>
    <w:rsid w:val="00B33940"/>
    <w:rsid w:val="00B3667B"/>
    <w:rsid w:val="00B419B8"/>
    <w:rsid w:val="00B41FDA"/>
    <w:rsid w:val="00B42393"/>
    <w:rsid w:val="00B43868"/>
    <w:rsid w:val="00B4550A"/>
    <w:rsid w:val="00B52B17"/>
    <w:rsid w:val="00B531ED"/>
    <w:rsid w:val="00B62EFF"/>
    <w:rsid w:val="00B66E81"/>
    <w:rsid w:val="00B67931"/>
    <w:rsid w:val="00B7522D"/>
    <w:rsid w:val="00B75F9D"/>
    <w:rsid w:val="00B856FC"/>
    <w:rsid w:val="00B86BB0"/>
    <w:rsid w:val="00BA61B3"/>
    <w:rsid w:val="00BA6A00"/>
    <w:rsid w:val="00BA794C"/>
    <w:rsid w:val="00BB501E"/>
    <w:rsid w:val="00BC62CE"/>
    <w:rsid w:val="00BD1810"/>
    <w:rsid w:val="00BE7C79"/>
    <w:rsid w:val="00BF18A9"/>
    <w:rsid w:val="00BF2EF5"/>
    <w:rsid w:val="00BF798A"/>
    <w:rsid w:val="00C04BAD"/>
    <w:rsid w:val="00C06FA9"/>
    <w:rsid w:val="00C11A1A"/>
    <w:rsid w:val="00C128BB"/>
    <w:rsid w:val="00C14A64"/>
    <w:rsid w:val="00C170B4"/>
    <w:rsid w:val="00C17CEA"/>
    <w:rsid w:val="00C30261"/>
    <w:rsid w:val="00C31967"/>
    <w:rsid w:val="00C31EEC"/>
    <w:rsid w:val="00C408B3"/>
    <w:rsid w:val="00C4243D"/>
    <w:rsid w:val="00C46AF8"/>
    <w:rsid w:val="00C54698"/>
    <w:rsid w:val="00C7504D"/>
    <w:rsid w:val="00CA0A98"/>
    <w:rsid w:val="00CA1DFE"/>
    <w:rsid w:val="00CA1E25"/>
    <w:rsid w:val="00CA3489"/>
    <w:rsid w:val="00CB205E"/>
    <w:rsid w:val="00CB2483"/>
    <w:rsid w:val="00CC56FE"/>
    <w:rsid w:val="00CC6B50"/>
    <w:rsid w:val="00CD0769"/>
    <w:rsid w:val="00CD7902"/>
    <w:rsid w:val="00CE3E9D"/>
    <w:rsid w:val="00CF027B"/>
    <w:rsid w:val="00D00F99"/>
    <w:rsid w:val="00D05561"/>
    <w:rsid w:val="00D12852"/>
    <w:rsid w:val="00D21460"/>
    <w:rsid w:val="00D44902"/>
    <w:rsid w:val="00D47933"/>
    <w:rsid w:val="00D50614"/>
    <w:rsid w:val="00D55D0A"/>
    <w:rsid w:val="00D61824"/>
    <w:rsid w:val="00D61EC9"/>
    <w:rsid w:val="00D62EF7"/>
    <w:rsid w:val="00D63712"/>
    <w:rsid w:val="00D71BC5"/>
    <w:rsid w:val="00D83C55"/>
    <w:rsid w:val="00DA6A03"/>
    <w:rsid w:val="00DB1766"/>
    <w:rsid w:val="00DB2C3A"/>
    <w:rsid w:val="00DB6654"/>
    <w:rsid w:val="00DC242D"/>
    <w:rsid w:val="00DC5D97"/>
    <w:rsid w:val="00DD3544"/>
    <w:rsid w:val="00DF6085"/>
    <w:rsid w:val="00E04F8A"/>
    <w:rsid w:val="00E15AE3"/>
    <w:rsid w:val="00E23137"/>
    <w:rsid w:val="00E32EF6"/>
    <w:rsid w:val="00E33DDF"/>
    <w:rsid w:val="00E519AF"/>
    <w:rsid w:val="00E56015"/>
    <w:rsid w:val="00E57E7B"/>
    <w:rsid w:val="00E61EB8"/>
    <w:rsid w:val="00E832D8"/>
    <w:rsid w:val="00E901B6"/>
    <w:rsid w:val="00E90FE9"/>
    <w:rsid w:val="00EB0739"/>
    <w:rsid w:val="00ED4E17"/>
    <w:rsid w:val="00EE783C"/>
    <w:rsid w:val="00EE7F33"/>
    <w:rsid w:val="00F000B6"/>
    <w:rsid w:val="00F10B64"/>
    <w:rsid w:val="00F1615E"/>
    <w:rsid w:val="00F21B2C"/>
    <w:rsid w:val="00F222BD"/>
    <w:rsid w:val="00F31137"/>
    <w:rsid w:val="00F42958"/>
    <w:rsid w:val="00F568BD"/>
    <w:rsid w:val="00F74A20"/>
    <w:rsid w:val="00F8107B"/>
    <w:rsid w:val="00FA06E3"/>
    <w:rsid w:val="00FA191A"/>
    <w:rsid w:val="00FB61DA"/>
    <w:rsid w:val="00FC3565"/>
    <w:rsid w:val="00FC46AF"/>
    <w:rsid w:val="00FE1ACB"/>
    <w:rsid w:val="00FE212A"/>
    <w:rsid w:val="00FE6BB9"/>
    <w:rsid w:val="00FF0437"/>
    <w:rsid w:val="00FF7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2E8FFBB0-5E51-4260-9F93-8CF8131028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893A8E"/>
    <w:pPr>
      <w:ind w:left="720"/>
      <w:contextualSpacing/>
    </w:pPr>
  </w:style>
  <w:style w:type="paragraph" w:styleId="a4">
    <w:name w:val="No Spacing"/>
    <w:link w:val="a5"/>
    <w:uiPriority w:val="1"/>
    <w:qFormat/>
    <w:rsid w:val="00882D1D"/>
    <w:pPr>
      <w:spacing w:after="0" w:line="240" w:lineRule="auto"/>
    </w:pPr>
    <w:rPr>
      <w:rFonts w:ascii="Calibri" w:eastAsia="Calibri" w:hAnsi="Calibri" w:cs="Times New Roman"/>
    </w:rPr>
  </w:style>
  <w:style w:type="character" w:customStyle="1" w:styleId="a5">
    <w:name w:val="Без интервала Знак"/>
    <w:link w:val="a4"/>
    <w:uiPriority w:val="1"/>
    <w:rsid w:val="00882D1D"/>
    <w:rPr>
      <w:rFonts w:ascii="Calibri" w:eastAsia="Calibri" w:hAnsi="Calibri" w:cs="Times New Roman"/>
    </w:rPr>
  </w:style>
  <w:style w:type="paragraph" w:customStyle="1" w:styleId="1">
    <w:name w:val="Обычный1"/>
    <w:qFormat/>
    <w:rsid w:val="00882D1D"/>
    <w:pPr>
      <w:suppressAutoHyphens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ar-SA"/>
    </w:rPr>
  </w:style>
  <w:style w:type="paragraph" w:customStyle="1" w:styleId="10">
    <w:name w:val="Без интервала1"/>
    <w:rsid w:val="00882D1D"/>
    <w:pPr>
      <w:suppressAutoHyphens/>
      <w:spacing w:after="0" w:line="240" w:lineRule="auto"/>
    </w:pPr>
    <w:rPr>
      <w:rFonts w:ascii="Calibri" w:eastAsia="Calibri" w:hAnsi="Calibri" w:cs="Times New Roman"/>
      <w:color w:val="00000A"/>
      <w:lang w:eastAsia="ar-SA"/>
    </w:rPr>
  </w:style>
  <w:style w:type="paragraph" w:styleId="a6">
    <w:name w:val="Balloon Text"/>
    <w:basedOn w:val="a"/>
    <w:link w:val="a7"/>
    <w:uiPriority w:val="99"/>
    <w:semiHidden/>
    <w:unhideWhenUsed/>
    <w:rsid w:val="00882D1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882D1D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37773C1-88D3-4C47-9FB3-66D2306F86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967</TotalTime>
  <Pages>8</Pages>
  <Words>3206</Words>
  <Characters>18276</Characters>
  <Application>Microsoft Office Word</Application>
  <DocSecurity>0</DocSecurity>
  <Lines>152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21440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KAB-26-PC-2</cp:lastModifiedBy>
  <cp:revision>206</cp:revision>
  <cp:lastPrinted>2019-11-22T07:09:00Z</cp:lastPrinted>
  <dcterms:created xsi:type="dcterms:W3CDTF">2019-11-12T13:57:00Z</dcterms:created>
  <dcterms:modified xsi:type="dcterms:W3CDTF">2022-12-02T06:14:00Z</dcterms:modified>
</cp:coreProperties>
</file>